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CB" w:rsidRPr="00360646" w:rsidRDefault="00477C64" w:rsidP="00477C64">
      <w:pPr>
        <w:jc w:val="center"/>
        <w:rPr>
          <w:b/>
        </w:rPr>
      </w:pPr>
      <w:r>
        <w:rPr>
          <w:b/>
        </w:rPr>
        <w:t>Summary of Enabling Legislation for Wake County Room Occupancy and Food and Beverage Tax</w:t>
      </w:r>
    </w:p>
    <w:p w:rsidR="00360646" w:rsidRPr="00477C64" w:rsidRDefault="00360646" w:rsidP="008F6DC7">
      <w:pPr>
        <w:ind w:left="360"/>
        <w:rPr>
          <w:b/>
          <w:u w:val="single"/>
        </w:rPr>
      </w:pPr>
      <w:r w:rsidRPr="00477C64">
        <w:rPr>
          <w:b/>
          <w:u w:val="single"/>
        </w:rPr>
        <w:t>Occupancy Tax:</w:t>
      </w:r>
    </w:p>
    <w:p w:rsidR="00BF185D" w:rsidRDefault="00BF185D" w:rsidP="008F6DC7">
      <w:pPr>
        <w:pStyle w:val="ListParagraph"/>
        <w:numPr>
          <w:ilvl w:val="0"/>
          <w:numId w:val="1"/>
        </w:numPr>
      </w:pPr>
      <w:r>
        <w:t>Administrative fee</w:t>
      </w:r>
    </w:p>
    <w:p w:rsidR="00BF185D" w:rsidRDefault="00BF185D" w:rsidP="008F6DC7">
      <w:pPr>
        <w:pStyle w:val="ListParagraph"/>
        <w:numPr>
          <w:ilvl w:val="0"/>
          <w:numId w:val="1"/>
        </w:numPr>
      </w:pPr>
      <w:r>
        <w:t>Distribution to City of Raleigh</w:t>
      </w:r>
    </w:p>
    <w:p w:rsidR="00BF185D" w:rsidRDefault="00BF185D" w:rsidP="008F6DC7">
      <w:pPr>
        <w:pStyle w:val="ListParagraph"/>
        <w:numPr>
          <w:ilvl w:val="1"/>
          <w:numId w:val="1"/>
        </w:numPr>
      </w:pPr>
      <w:r>
        <w:t>Use limited to:</w:t>
      </w:r>
    </w:p>
    <w:p w:rsidR="00360646" w:rsidRDefault="00360646" w:rsidP="008F6DC7">
      <w:pPr>
        <w:pStyle w:val="ListParagraph"/>
        <w:numPr>
          <w:ilvl w:val="2"/>
          <w:numId w:val="1"/>
        </w:numPr>
      </w:pPr>
      <w:r>
        <w:t>Acquisition, construction, financing, debt servicing, maintenance or operation of convention centers, civic centers, performing arts centers, coliseums, auditoriums and museums; to provide off-street parking for use in conjunction with such facilities and to fund visitor-related program and activities.</w:t>
      </w:r>
    </w:p>
    <w:p w:rsidR="00BF185D" w:rsidRDefault="00BF185D" w:rsidP="008F6DC7">
      <w:pPr>
        <w:pStyle w:val="ListParagraph"/>
        <w:numPr>
          <w:ilvl w:val="2"/>
          <w:numId w:val="1"/>
        </w:numPr>
      </w:pPr>
      <w:r>
        <w:t>acquisition, construction, renovation, financing, debt service, maintenance and operation of expansions and additions to the Raleigh Civic Center Complex or similar facilities and</w:t>
      </w:r>
    </w:p>
    <w:p w:rsidR="00BF185D" w:rsidRDefault="00BF185D" w:rsidP="008F6DC7">
      <w:pPr>
        <w:pStyle w:val="ListParagraph"/>
        <w:numPr>
          <w:ilvl w:val="2"/>
          <w:numId w:val="1"/>
        </w:numPr>
      </w:pPr>
      <w:r>
        <w:t>construction of sports, cultural and arts facilities, including a coliseum, a performing arts theater, a visual arts program and a children’s museum.</w:t>
      </w:r>
    </w:p>
    <w:p w:rsidR="00BF185D" w:rsidRDefault="00BF185D" w:rsidP="008F6DC7">
      <w:pPr>
        <w:pStyle w:val="ListParagraph"/>
        <w:numPr>
          <w:ilvl w:val="0"/>
          <w:numId w:val="1"/>
        </w:numPr>
      </w:pPr>
      <w:r>
        <w:t>Distribution to Cary</w:t>
      </w:r>
    </w:p>
    <w:p w:rsidR="00BF185D" w:rsidRDefault="00BF185D" w:rsidP="008F6DC7">
      <w:pPr>
        <w:pStyle w:val="ListParagraph"/>
        <w:numPr>
          <w:ilvl w:val="1"/>
          <w:numId w:val="1"/>
        </w:numPr>
      </w:pPr>
      <w:r>
        <w:t>Use limited to public relations and p</w:t>
      </w:r>
      <w:bookmarkStart w:id="0" w:name="_GoBack"/>
      <w:bookmarkEnd w:id="0"/>
      <w:r>
        <w:t xml:space="preserve">romotional activities for </w:t>
      </w:r>
      <w:r w:rsidR="00477C64">
        <w:t>the</w:t>
      </w:r>
      <w:r>
        <w:t xml:space="preserve"> town and visitor-related programs and activities, including cultural programs, events, festivals and other visitor-related programs</w:t>
      </w:r>
    </w:p>
    <w:p w:rsidR="00BF185D" w:rsidRDefault="00BF185D" w:rsidP="008F6DC7">
      <w:pPr>
        <w:pStyle w:val="ListParagraph"/>
        <w:numPr>
          <w:ilvl w:val="0"/>
          <w:numId w:val="1"/>
        </w:numPr>
      </w:pPr>
      <w:r>
        <w:t>Distribution to Wake County</w:t>
      </w:r>
    </w:p>
    <w:p w:rsidR="00BF185D" w:rsidRDefault="00BF185D" w:rsidP="008F6DC7">
      <w:pPr>
        <w:pStyle w:val="ListParagraph"/>
        <w:numPr>
          <w:ilvl w:val="1"/>
          <w:numId w:val="1"/>
        </w:numPr>
      </w:pPr>
      <w:r>
        <w:t>Use limited to:</w:t>
      </w:r>
    </w:p>
    <w:p w:rsidR="00BF185D" w:rsidRDefault="00BF185D" w:rsidP="008F6DC7">
      <w:pPr>
        <w:pStyle w:val="ListParagraph"/>
        <w:numPr>
          <w:ilvl w:val="2"/>
          <w:numId w:val="1"/>
        </w:numPr>
      </w:pPr>
      <w:r>
        <w:t>For the Raleigh Civic Center Complex or similar facilities and</w:t>
      </w:r>
    </w:p>
    <w:p w:rsidR="00BF185D" w:rsidRDefault="00BF185D" w:rsidP="008F6DC7">
      <w:pPr>
        <w:pStyle w:val="ListParagraph"/>
        <w:numPr>
          <w:ilvl w:val="2"/>
          <w:numId w:val="1"/>
        </w:numPr>
      </w:pPr>
      <w:r>
        <w:t>Construction of sports, cultural and arts facilities, including a coliseum, a performing arts theater, a visual arts program and a children’s museum.</w:t>
      </w:r>
    </w:p>
    <w:p w:rsidR="00BF185D" w:rsidRDefault="00BF185D" w:rsidP="008F6DC7">
      <w:pPr>
        <w:pStyle w:val="ListParagraph"/>
        <w:numPr>
          <w:ilvl w:val="0"/>
          <w:numId w:val="1"/>
        </w:numPr>
      </w:pPr>
      <w:r>
        <w:t>Distribution to GRCVB</w:t>
      </w:r>
    </w:p>
    <w:p w:rsidR="00BF185D" w:rsidRPr="00477C64" w:rsidRDefault="00360646" w:rsidP="008F6DC7">
      <w:pPr>
        <w:ind w:left="360"/>
        <w:rPr>
          <w:b/>
          <w:u w:val="single"/>
        </w:rPr>
      </w:pPr>
      <w:r w:rsidRPr="00477C64">
        <w:rPr>
          <w:b/>
          <w:u w:val="single"/>
        </w:rPr>
        <w:t>Food and Beverage Tax:</w:t>
      </w:r>
    </w:p>
    <w:p w:rsidR="00360646" w:rsidRDefault="00360646" w:rsidP="008F6DC7">
      <w:pPr>
        <w:pStyle w:val="ListParagraph"/>
        <w:numPr>
          <w:ilvl w:val="0"/>
          <w:numId w:val="1"/>
        </w:numPr>
      </w:pPr>
      <w:r>
        <w:t>Administrative fee</w:t>
      </w:r>
    </w:p>
    <w:p w:rsidR="00360646" w:rsidRDefault="00360646" w:rsidP="008F6DC7">
      <w:pPr>
        <w:pStyle w:val="ListParagraph"/>
        <w:numPr>
          <w:ilvl w:val="0"/>
          <w:numId w:val="1"/>
        </w:numPr>
      </w:pPr>
      <w:r>
        <w:t>Distribution to City of Raleigh</w:t>
      </w:r>
    </w:p>
    <w:p w:rsidR="00360646" w:rsidRDefault="00360646" w:rsidP="008F6DC7">
      <w:pPr>
        <w:pStyle w:val="ListParagraph"/>
        <w:numPr>
          <w:ilvl w:val="1"/>
          <w:numId w:val="1"/>
        </w:numPr>
      </w:pPr>
      <w:r>
        <w:t>Use limited to:</w:t>
      </w:r>
    </w:p>
    <w:p w:rsidR="00360646" w:rsidRDefault="00360646" w:rsidP="008F6DC7">
      <w:pPr>
        <w:pStyle w:val="ListParagraph"/>
        <w:numPr>
          <w:ilvl w:val="2"/>
          <w:numId w:val="1"/>
        </w:numPr>
      </w:pPr>
      <w:r>
        <w:t>Acquisition, construction, financing, debt servicing, maintenance or operation of convention centers, civic centers, performing arts centers, coliseums, auditoriums and museums; to provide off-street parking for use in conjunction with such facilities and to fund visitor-related program and activities.</w:t>
      </w:r>
    </w:p>
    <w:p w:rsidR="00360646" w:rsidRDefault="00360646" w:rsidP="008F6DC7">
      <w:pPr>
        <w:pStyle w:val="ListParagraph"/>
        <w:numPr>
          <w:ilvl w:val="2"/>
          <w:numId w:val="1"/>
        </w:numPr>
      </w:pPr>
      <w:r>
        <w:t>acquisition, construction, renovation, financing, debt service, maintenance and operation of expansions and additions to the Raleigh Civic Center Complex or similar facilities and</w:t>
      </w:r>
    </w:p>
    <w:p w:rsidR="00360646" w:rsidRDefault="00477C64" w:rsidP="008F6DC7">
      <w:pPr>
        <w:pStyle w:val="ListParagraph"/>
        <w:numPr>
          <w:ilvl w:val="2"/>
          <w:numId w:val="1"/>
        </w:numPr>
      </w:pPr>
      <w:r>
        <w:t>Construction</w:t>
      </w:r>
      <w:r w:rsidR="00360646">
        <w:t xml:space="preserve"> of sports, cultural and arts facilities, including a coliseum, a performing arts theater, a visual arts program and a children’s museum.</w:t>
      </w:r>
    </w:p>
    <w:p w:rsidR="00360646" w:rsidRDefault="00360646" w:rsidP="008F6DC7">
      <w:pPr>
        <w:pStyle w:val="ListParagraph"/>
        <w:numPr>
          <w:ilvl w:val="0"/>
          <w:numId w:val="1"/>
        </w:numPr>
      </w:pPr>
      <w:r>
        <w:t>Distribution to Wake County</w:t>
      </w:r>
    </w:p>
    <w:p w:rsidR="00360646" w:rsidRDefault="00360646" w:rsidP="008F6DC7">
      <w:pPr>
        <w:pStyle w:val="ListParagraph"/>
        <w:numPr>
          <w:ilvl w:val="1"/>
          <w:numId w:val="1"/>
        </w:numPr>
      </w:pPr>
      <w:r>
        <w:t>Use limited to:</w:t>
      </w:r>
    </w:p>
    <w:p w:rsidR="00360646" w:rsidRDefault="00360646" w:rsidP="008F6DC7">
      <w:pPr>
        <w:pStyle w:val="ListParagraph"/>
        <w:numPr>
          <w:ilvl w:val="2"/>
          <w:numId w:val="1"/>
        </w:numPr>
      </w:pPr>
      <w:r>
        <w:lastRenderedPageBreak/>
        <w:t>For the Raleigh Civic Center Complex or similar facilities and</w:t>
      </w:r>
    </w:p>
    <w:p w:rsidR="00360646" w:rsidRDefault="00360646" w:rsidP="008F6DC7">
      <w:pPr>
        <w:pStyle w:val="ListParagraph"/>
        <w:numPr>
          <w:ilvl w:val="2"/>
          <w:numId w:val="1"/>
        </w:numPr>
      </w:pPr>
      <w:r>
        <w:t>Construction of sports, cultural and arts facilities, including a coliseum, a performing arts theater, a visual arts program and a children’s museum.</w:t>
      </w:r>
    </w:p>
    <w:p w:rsidR="00360646" w:rsidRDefault="00360646" w:rsidP="00452CAC">
      <w:pPr>
        <w:pStyle w:val="ListParagraph"/>
        <w:numPr>
          <w:ilvl w:val="0"/>
          <w:numId w:val="1"/>
        </w:numPr>
      </w:pPr>
      <w:r>
        <w:t>Distribution to GRCVB</w:t>
      </w:r>
    </w:p>
    <w:p w:rsidR="00360646" w:rsidRDefault="00360646" w:rsidP="008F6DC7">
      <w:pPr>
        <w:pStyle w:val="ListParagraph"/>
        <w:numPr>
          <w:ilvl w:val="0"/>
          <w:numId w:val="1"/>
        </w:numPr>
      </w:pPr>
      <w:r>
        <w:t>Future allocations Occupancy:</w:t>
      </w:r>
    </w:p>
    <w:p w:rsidR="00360646" w:rsidRDefault="00360646" w:rsidP="008F6DC7">
      <w:pPr>
        <w:pStyle w:val="ListParagraph"/>
        <w:numPr>
          <w:ilvl w:val="1"/>
          <w:numId w:val="1"/>
        </w:numPr>
      </w:pPr>
      <w:r>
        <w:t>GRCVB 25%</w:t>
      </w:r>
    </w:p>
    <w:p w:rsidR="00360646" w:rsidRDefault="00360646" w:rsidP="008F6DC7">
      <w:pPr>
        <w:pStyle w:val="ListParagraph"/>
        <w:numPr>
          <w:ilvl w:val="1"/>
          <w:numId w:val="1"/>
        </w:numPr>
      </w:pPr>
      <w:r>
        <w:t>Town of Cary 5%</w:t>
      </w:r>
    </w:p>
    <w:p w:rsidR="00360646" w:rsidRDefault="00360646" w:rsidP="008F6DC7">
      <w:pPr>
        <w:pStyle w:val="ListParagraph"/>
        <w:numPr>
          <w:ilvl w:val="1"/>
          <w:numId w:val="1"/>
        </w:numPr>
      </w:pPr>
      <w:r>
        <w:t>City of Raleigh 47.5%/35%</w:t>
      </w:r>
    </w:p>
    <w:p w:rsidR="00360646" w:rsidRDefault="00360646" w:rsidP="008F6DC7">
      <w:pPr>
        <w:pStyle w:val="ListParagraph"/>
        <w:numPr>
          <w:ilvl w:val="1"/>
          <w:numId w:val="1"/>
        </w:numPr>
      </w:pPr>
      <w:r>
        <w:t>Wake County 22.5%/35%</w:t>
      </w:r>
    </w:p>
    <w:p w:rsidR="00360646" w:rsidRDefault="00360646" w:rsidP="008F6DC7">
      <w:pPr>
        <w:pStyle w:val="ListParagraph"/>
        <w:numPr>
          <w:ilvl w:val="0"/>
          <w:numId w:val="1"/>
        </w:numPr>
      </w:pPr>
      <w:r>
        <w:t>Future allocations Food &amp; Beverage:</w:t>
      </w:r>
    </w:p>
    <w:p w:rsidR="00360646" w:rsidRDefault="00360646" w:rsidP="008F6DC7">
      <w:pPr>
        <w:pStyle w:val="ListParagraph"/>
        <w:numPr>
          <w:ilvl w:val="1"/>
          <w:numId w:val="1"/>
        </w:numPr>
      </w:pPr>
      <w:r>
        <w:t>City of Raleigh 75%/60%</w:t>
      </w:r>
    </w:p>
    <w:p w:rsidR="00360646" w:rsidRDefault="00360646" w:rsidP="008F6DC7">
      <w:pPr>
        <w:pStyle w:val="ListParagraph"/>
        <w:numPr>
          <w:ilvl w:val="1"/>
          <w:numId w:val="1"/>
        </w:numPr>
      </w:pPr>
      <w:r>
        <w:t>Wake County 25%/40%</w:t>
      </w:r>
    </w:p>
    <w:p w:rsidR="00360646" w:rsidRDefault="00360646" w:rsidP="008F6DC7">
      <w:pPr>
        <w:pStyle w:val="ListParagraph"/>
        <w:numPr>
          <w:ilvl w:val="0"/>
          <w:numId w:val="1"/>
        </w:numPr>
      </w:pPr>
      <w:r>
        <w:t xml:space="preserve">Distribution to Centennial Authority </w:t>
      </w:r>
    </w:p>
    <w:p w:rsidR="00360646" w:rsidRDefault="00360646" w:rsidP="008F6DC7">
      <w:pPr>
        <w:pStyle w:val="ListParagraph"/>
        <w:numPr>
          <w:ilvl w:val="1"/>
          <w:numId w:val="1"/>
        </w:numPr>
      </w:pPr>
      <w:r>
        <w:t xml:space="preserve">For operation, </w:t>
      </w:r>
      <w:r w:rsidR="007D4BEE">
        <w:t>renovation, maintenance and repair</w:t>
      </w:r>
      <w:r>
        <w:t xml:space="preserve"> of regional facility</w:t>
      </w:r>
    </w:p>
    <w:sectPr w:rsidR="0036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629"/>
    <w:multiLevelType w:val="hybridMultilevel"/>
    <w:tmpl w:val="78F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E1273"/>
    <w:multiLevelType w:val="hybridMultilevel"/>
    <w:tmpl w:val="3830EB8E"/>
    <w:lvl w:ilvl="0" w:tplc="38D6E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5D"/>
    <w:rsid w:val="00360646"/>
    <w:rsid w:val="00452CAC"/>
    <w:rsid w:val="00477C64"/>
    <w:rsid w:val="0066260B"/>
    <w:rsid w:val="006A42D1"/>
    <w:rsid w:val="007008CB"/>
    <w:rsid w:val="007D4BEE"/>
    <w:rsid w:val="008F6DC7"/>
    <w:rsid w:val="00934A9F"/>
    <w:rsid w:val="00A90A17"/>
    <w:rsid w:val="00BF185D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3F2201BC-BDDF-4BE2-9022-D2E0B0AFA6C5}"/>
</file>

<file path=customXml/itemProps2.xml><?xml version="1.0" encoding="utf-8"?>
<ds:datastoreItem xmlns:ds="http://schemas.openxmlformats.org/officeDocument/2006/customXml" ds:itemID="{0D3CC516-5D55-4BF9-A786-066C15875550}"/>
</file>

<file path=customXml/itemProps3.xml><?xml version="1.0" encoding="utf-8"?>
<ds:datastoreItem xmlns:ds="http://schemas.openxmlformats.org/officeDocument/2006/customXml" ds:itemID="{0DB5E691-A237-454E-B935-43998AB2C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Wake County</cp:lastModifiedBy>
  <cp:revision>2</cp:revision>
  <cp:lastPrinted>2017-01-25T15:09:00Z</cp:lastPrinted>
  <dcterms:created xsi:type="dcterms:W3CDTF">2017-03-06T23:09:00Z</dcterms:created>
  <dcterms:modified xsi:type="dcterms:W3CDTF">2017-03-06T23:09:00Z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