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718C9B">
      <w:pPr>
        <w:rPr>
          <w:rFonts w:hint="eastAsia"/>
          <w:b/>
          <w:bCs/>
          <w:sz w:val="32"/>
          <w:szCs w:val="28"/>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-213995</wp:posOffset>
                </wp:positionH>
                <wp:positionV relativeFrom="paragraph">
                  <wp:posOffset>7181215</wp:posOffset>
                </wp:positionV>
                <wp:extent cx="6308725" cy="1642110"/>
                <wp:effectExtent l="0" t="0" r="635" b="3810"/>
                <wp:wrapNone/>
                <wp:docPr id="3" name="文本框 3"/>
                <wp:cNvGraphicFramePr/>
                <a:graphic xmlns:a="http://schemas.openxmlformats.org/drawingml/2006/main">
                  <a:graphicData uri="http://schemas.microsoft.com/office/word/2010/wordprocessingShape">
                    <wps:wsp>
                      <wps:cNvSpPr txBox="1"/>
                      <wps:spPr>
                        <a:xfrm>
                          <a:off x="1097280" y="7790815"/>
                          <a:ext cx="6308725" cy="16421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249D4AB">
                            <w:pPr>
                              <w:pStyle w:val="2"/>
                              <w:keepNext w:val="0"/>
                              <w:keepLines w:val="0"/>
                              <w:pageBreakBefore w:val="0"/>
                              <w:widowControl w:val="0"/>
                              <w:kinsoku/>
                              <w:wordWrap/>
                              <w:overflowPunct/>
                              <w:topLinePunct w:val="0"/>
                              <w:bidi w:val="0"/>
                              <w:adjustRightInd/>
                              <w:snapToGrid/>
                              <w:spacing w:line="360" w:lineRule="auto"/>
                              <w:jc w:val="right"/>
                              <w:textAlignment w:val="auto"/>
                              <w:rPr>
                                <w:rFonts w:hint="default"/>
                                <w:color w:val="7030A0"/>
                                <w:sz w:val="72"/>
                                <w:szCs w:val="192"/>
                                <w:lang w:val="en-US" w:eastAsia="zh-CN"/>
                              </w:rPr>
                            </w:pPr>
                            <w:r>
                              <w:rPr>
                                <w:rFonts w:hint="eastAsia"/>
                                <w:color w:val="7030A0"/>
                                <w:sz w:val="72"/>
                                <w:szCs w:val="192"/>
                                <w:lang w:val="en-US" w:eastAsia="zh-CN"/>
                              </w:rPr>
                              <w:t>Cat No. W2502</w:t>
                            </w:r>
                          </w:p>
                          <w:p w14:paraId="251F44EE">
                            <w:pPr>
                              <w:pStyle w:val="2"/>
                              <w:keepNext w:val="0"/>
                              <w:keepLines w:val="0"/>
                              <w:pageBreakBefore w:val="0"/>
                              <w:widowControl w:val="0"/>
                              <w:kinsoku/>
                              <w:wordWrap/>
                              <w:overflowPunct/>
                              <w:topLinePunct w:val="0"/>
                              <w:bidi w:val="0"/>
                              <w:adjustRightInd/>
                              <w:snapToGrid/>
                              <w:spacing w:line="360" w:lineRule="auto"/>
                              <w:jc w:val="center"/>
                              <w:textAlignment w:val="auto"/>
                              <w:rPr>
                                <w:sz w:val="36"/>
                                <w:szCs w:val="52"/>
                              </w:rPr>
                            </w:pPr>
                            <w:r>
                              <w:rPr>
                                <w:rFonts w:hint="eastAsia"/>
                                <w:color w:val="7030A0"/>
                                <w:sz w:val="56"/>
                                <w:szCs w:val="112"/>
                                <w:lang w:val="en-US" w:eastAsia="zh-CN"/>
                              </w:rPr>
                              <w:t>U-Blot</w:t>
                            </w:r>
                            <w:r>
                              <w:rPr>
                                <w:rFonts w:hint="eastAsia"/>
                                <w:color w:val="7030A0"/>
                                <w:sz w:val="56"/>
                                <w:szCs w:val="112"/>
                                <w:vertAlign w:val="superscript"/>
                                <w:lang w:val="en-US" w:eastAsia="zh-CN"/>
                              </w:rPr>
                              <w:t>®</w:t>
                            </w:r>
                            <w:r>
                              <w:rPr>
                                <w:rFonts w:hint="default"/>
                                <w:color w:val="7030A0"/>
                                <w:sz w:val="56"/>
                                <w:szCs w:val="112"/>
                                <w:lang w:val="en-US" w:eastAsia="zh-CN"/>
                              </w:rPr>
                              <w:t xml:space="preserve"> </w:t>
                            </w:r>
                            <w:r>
                              <w:rPr>
                                <w:rFonts w:hint="eastAsia"/>
                                <w:color w:val="7030A0"/>
                                <w:sz w:val="56"/>
                                <w:szCs w:val="112"/>
                                <w:lang w:val="en-US" w:eastAsia="zh-CN"/>
                              </w:rPr>
                              <w:t>Femto-Sensitive</w:t>
                            </w:r>
                            <w:r>
                              <w:rPr>
                                <w:rFonts w:hint="default"/>
                                <w:color w:val="7030A0"/>
                                <w:sz w:val="56"/>
                                <w:szCs w:val="112"/>
                                <w:lang w:val="en-US" w:eastAsia="zh-CN"/>
                              </w:rPr>
                              <w:t xml:space="preserve"> ECL Solution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5pt;margin-top:565.45pt;height:129.3pt;width:496.75pt;z-index:251660288;mso-width-relative:page;mso-height-relative:page;" fillcolor="#FFFFFF [3201]" filled="t" stroked="f" coordsize="21600,21600" o:gfxdata="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Wju3dgAAAANAQAADwAAAAAAAAABACAAAAAiAAAAZHJzL2Rvd25yZXYueG1sUEsBAhQAFAAAAAgA&#10;h07iQA8Hg4ZeAgAAnAQAAA4AAAAAAAAAAQAgAAAAJwEAAGRycy9lMm9Eb2MueG1sUEsFBgAAAAAG&#10;AAYAWQEAAPcFAAAAAA==&#10;">
                <v:fill on="t" focussize="0,0"/>
                <v:stroke on="f" weight="0.5pt"/>
                <v:imagedata o:title=""/>
                <o:lock v:ext="edit" aspectratio="f"/>
                <v:textbox>
                  <w:txbxContent>
                    <w:p w14:paraId="6249D4AB">
                      <w:pPr>
                        <w:pStyle w:val="2"/>
                        <w:keepNext w:val="0"/>
                        <w:keepLines w:val="0"/>
                        <w:pageBreakBefore w:val="0"/>
                        <w:widowControl w:val="0"/>
                        <w:kinsoku/>
                        <w:wordWrap/>
                        <w:overflowPunct/>
                        <w:topLinePunct w:val="0"/>
                        <w:bidi w:val="0"/>
                        <w:adjustRightInd/>
                        <w:snapToGrid/>
                        <w:spacing w:line="360" w:lineRule="auto"/>
                        <w:jc w:val="right"/>
                        <w:textAlignment w:val="auto"/>
                        <w:rPr>
                          <w:rFonts w:hint="default"/>
                          <w:color w:val="7030A0"/>
                          <w:sz w:val="72"/>
                          <w:szCs w:val="192"/>
                          <w:lang w:val="en-US" w:eastAsia="zh-CN"/>
                        </w:rPr>
                      </w:pPr>
                      <w:r>
                        <w:rPr>
                          <w:rFonts w:hint="eastAsia"/>
                          <w:color w:val="7030A0"/>
                          <w:sz w:val="72"/>
                          <w:szCs w:val="192"/>
                          <w:lang w:val="en-US" w:eastAsia="zh-CN"/>
                        </w:rPr>
                        <w:t>Cat No. W2502</w:t>
                      </w:r>
                    </w:p>
                    <w:p w14:paraId="251F44EE">
                      <w:pPr>
                        <w:pStyle w:val="2"/>
                        <w:keepNext w:val="0"/>
                        <w:keepLines w:val="0"/>
                        <w:pageBreakBefore w:val="0"/>
                        <w:widowControl w:val="0"/>
                        <w:kinsoku/>
                        <w:wordWrap/>
                        <w:overflowPunct/>
                        <w:topLinePunct w:val="0"/>
                        <w:bidi w:val="0"/>
                        <w:adjustRightInd/>
                        <w:snapToGrid/>
                        <w:spacing w:line="360" w:lineRule="auto"/>
                        <w:jc w:val="center"/>
                        <w:textAlignment w:val="auto"/>
                        <w:rPr>
                          <w:sz w:val="36"/>
                          <w:szCs w:val="52"/>
                        </w:rPr>
                      </w:pPr>
                      <w:r>
                        <w:rPr>
                          <w:rFonts w:hint="eastAsia"/>
                          <w:color w:val="7030A0"/>
                          <w:sz w:val="56"/>
                          <w:szCs w:val="112"/>
                          <w:lang w:val="en-US" w:eastAsia="zh-CN"/>
                        </w:rPr>
                        <w:t>U-Blot</w:t>
                      </w:r>
                      <w:r>
                        <w:rPr>
                          <w:rFonts w:hint="eastAsia"/>
                          <w:color w:val="7030A0"/>
                          <w:sz w:val="56"/>
                          <w:szCs w:val="112"/>
                          <w:vertAlign w:val="superscript"/>
                          <w:lang w:val="en-US" w:eastAsia="zh-CN"/>
                        </w:rPr>
                        <w:t>®</w:t>
                      </w:r>
                      <w:r>
                        <w:rPr>
                          <w:rFonts w:hint="default"/>
                          <w:color w:val="7030A0"/>
                          <w:sz w:val="56"/>
                          <w:szCs w:val="112"/>
                          <w:lang w:val="en-US" w:eastAsia="zh-CN"/>
                        </w:rPr>
                        <w:t xml:space="preserve"> </w:t>
                      </w:r>
                      <w:r>
                        <w:rPr>
                          <w:rFonts w:hint="eastAsia"/>
                          <w:color w:val="7030A0"/>
                          <w:sz w:val="56"/>
                          <w:szCs w:val="112"/>
                          <w:lang w:val="en-US" w:eastAsia="zh-CN"/>
                        </w:rPr>
                        <w:t>Femto-Sensitive</w:t>
                      </w:r>
                      <w:r>
                        <w:rPr>
                          <w:rFonts w:hint="default"/>
                          <w:color w:val="7030A0"/>
                          <w:sz w:val="56"/>
                          <w:szCs w:val="112"/>
                          <w:lang w:val="en-US" w:eastAsia="zh-CN"/>
                        </w:rPr>
                        <w:t xml:space="preserve"> ECL Solution</w:t>
                      </w:r>
                    </w:p>
                  </w:txbxContent>
                </v:textbox>
              </v:shape>
            </w:pict>
          </mc:Fallback>
        </mc:AlternateContent>
      </w:r>
      <w:r>
        <w:rPr>
          <w:rFonts w:hint="eastAsia"/>
          <w:b/>
          <w:bCs/>
          <w:sz w:val="32"/>
          <w:szCs w:val="28"/>
          <w:lang w:val="en-US" w:eastAsia="zh-CN"/>
        </w:rPr>
        <w:drawing>
          <wp:anchor distT="0" distB="0" distL="114300" distR="114300" simplePos="0" relativeHeight="251659264" behindDoc="1" locked="0" layoutInCell="1" allowOverlap="1">
            <wp:simplePos x="0" y="0"/>
            <wp:positionH relativeFrom="column">
              <wp:posOffset>-1177925</wp:posOffset>
            </wp:positionH>
            <wp:positionV relativeFrom="paragraph">
              <wp:posOffset>-939800</wp:posOffset>
            </wp:positionV>
            <wp:extent cx="7686675" cy="10790555"/>
            <wp:effectExtent l="0" t="0" r="9525" b="14605"/>
            <wp:wrapNone/>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6"/>
                    <a:stretch>
                      <a:fillRect/>
                    </a:stretch>
                  </pic:blipFill>
                  <pic:spPr>
                    <a:xfrm>
                      <a:off x="0" y="0"/>
                      <a:ext cx="7686675" cy="10790555"/>
                    </a:xfrm>
                    <a:prstGeom prst="rect">
                      <a:avLst/>
                    </a:prstGeom>
                  </pic:spPr>
                </pic:pic>
              </a:graphicData>
            </a:graphic>
          </wp:anchor>
        </w:drawing>
      </w:r>
      <w:r>
        <w:rPr>
          <w:rFonts w:hint="eastAsia"/>
          <w:b/>
          <w:bCs/>
          <w:sz w:val="32"/>
          <w:szCs w:val="28"/>
          <w:lang w:val="en-US" w:eastAsia="zh-CN"/>
        </w:rPr>
        <w:br w:type="page"/>
      </w:r>
    </w:p>
    <w:p w14:paraId="41DDB530">
      <w:pPr>
        <w:bidi w:val="0"/>
        <w:ind w:firstLine="560" w:firstLineChars="200"/>
        <w:rPr>
          <w:rFonts w:hint="eastAsia"/>
          <w:lang w:val="en-US" w:eastAsia="zh-CN"/>
        </w:rPr>
      </w:pPr>
      <w:r>
        <w:rPr>
          <w:rFonts w:hint="eastAsia"/>
          <w:lang w:val="en-US" w:eastAsia="zh-CN"/>
        </w:rPr>
        <w:drawing>
          <wp:anchor distT="0" distB="0" distL="114300" distR="114300" simplePos="0" relativeHeight="251661312" behindDoc="1" locked="0" layoutInCell="1" allowOverlap="1">
            <wp:simplePos x="0" y="0"/>
            <wp:positionH relativeFrom="column">
              <wp:posOffset>-1151255</wp:posOffset>
            </wp:positionH>
            <wp:positionV relativeFrom="paragraph">
              <wp:posOffset>-909955</wp:posOffset>
            </wp:positionV>
            <wp:extent cx="7578090" cy="10703560"/>
            <wp:effectExtent l="0" t="0" r="11430" b="1016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p>
    <w:p w14:paraId="55D8B313">
      <w:pPr>
        <w:bidi w:val="0"/>
        <w:ind w:firstLine="560" w:firstLineChars="200"/>
      </w:pPr>
      <w:r>
        <w:rPr>
          <w:rFonts w:hint="eastAsia"/>
          <w:lang w:val="en-US" w:eastAsia="zh-CN"/>
        </w:rPr>
        <w:t>U-Blot</w:t>
      </w:r>
      <w:r>
        <w:rPr>
          <w:rFonts w:hint="eastAsia"/>
          <w:vertAlign w:val="superscript"/>
          <w:lang w:val="en-US" w:eastAsia="zh-CN"/>
        </w:rPr>
        <w:t xml:space="preserve">® </w:t>
      </w:r>
      <w:r>
        <w:rPr>
          <w:rFonts w:hint="eastAsia"/>
        </w:rPr>
        <w:t>Femto-Sensitive</w:t>
      </w:r>
      <w:r>
        <w:t xml:space="preserve"> ECL Solution is a highly sensitive, non-</w:t>
      </w:r>
      <w:r>
        <w:rPr>
          <w:rFonts w:hint="eastAsia"/>
          <w:lang w:val="en-US" w:eastAsia="zh-CN"/>
        </w:rPr>
        <w:t xml:space="preserve"> </w:t>
      </w:r>
      <w:r>
        <w:t>radioactive chemiluminescent substrate based on Luminol for detecting horseradish peroxidase (HRP) on immunoblotted membranes. It can detect antigens at low femtogram levels. The continuous</w:t>
      </w:r>
      <w:r>
        <w:rPr>
          <w:rFonts w:hint="eastAsia"/>
          <w:lang w:val="en-US" w:eastAsia="zh-CN"/>
        </w:rPr>
        <w:t xml:space="preserve"> </w:t>
      </w:r>
      <w:r>
        <w:t>luminescence lasts up to 8 hours and can be repeatedly exposed to chemiluminescent imaging systems for optimal results, or for stripping immunodetection reagents and re-probing.</w:t>
      </w:r>
    </w:p>
    <w:p w14:paraId="3532A55B">
      <w:pPr>
        <w:bidi w:val="0"/>
        <w:ind w:firstLine="560" w:firstLineChars="200"/>
      </w:pPr>
      <w:r>
        <w:rPr>
          <w:rFonts w:hint="eastAsia"/>
          <w:lang w:val="en-US" w:eastAsia="zh-CN"/>
        </w:rPr>
        <w:t>U-Blot</w:t>
      </w:r>
      <w:r>
        <w:rPr>
          <w:rFonts w:hint="eastAsia"/>
          <w:vertAlign w:val="superscript"/>
          <w:lang w:val="en-US" w:eastAsia="zh-CN"/>
        </w:rPr>
        <w:t xml:space="preserve">® </w:t>
      </w:r>
      <w:r>
        <w:rPr>
          <w:rFonts w:hint="eastAsia"/>
        </w:rPr>
        <w:t>Femto-Sensitive</w:t>
      </w:r>
      <w:r>
        <w:t xml:space="preserve"> ECL Solution allows for higher antibody dilutions, significantly reducing antibody usage:</w:t>
      </w:r>
    </w:p>
    <w:p w14:paraId="275FD796">
      <w:pPr>
        <w:numPr>
          <w:ilvl w:val="0"/>
          <w:numId w:val="1"/>
        </w:numPr>
        <w:bidi w:val="0"/>
        <w:ind w:left="420" w:leftChars="0" w:hanging="420" w:firstLineChars="0"/>
      </w:pPr>
      <w:r>
        <w:t>Primary antibody (stock concentration 1mg/ml) dilution range: 1:5000–1:100,000</w:t>
      </w:r>
    </w:p>
    <w:p w14:paraId="275E7F66">
      <w:pPr>
        <w:numPr>
          <w:ilvl w:val="0"/>
          <w:numId w:val="1"/>
        </w:numPr>
        <w:bidi w:val="0"/>
        <w:ind w:left="420" w:leftChars="0" w:hanging="420" w:firstLineChars="0"/>
      </w:pPr>
      <w:r>
        <w:t>Secondary antibody (stock concentration 1mg/ml) dilution range: 1:100,000–1:500,000.</w:t>
      </w:r>
    </w:p>
    <w:p w14:paraId="0CBF61B0">
      <w:pPr>
        <w:pStyle w:val="3"/>
        <w:bidi w:val="0"/>
        <w:rPr>
          <w:rFonts w:hint="default"/>
          <w:lang w:val="en-US" w:eastAsia="zh-CN"/>
        </w:rPr>
      </w:pPr>
      <w:r>
        <w:rPr>
          <w:rFonts w:hint="default"/>
          <w:lang w:val="en-US" w:eastAsia="zh-CN"/>
        </w:rPr>
        <w:t>Applications</w:t>
      </w:r>
    </w:p>
    <w:p w14:paraId="3388A5BB">
      <w:pPr>
        <w:bidi w:val="0"/>
        <w:ind w:firstLine="560" w:firstLineChars="200"/>
        <w:rPr>
          <w:rFonts w:hint="eastAsia"/>
          <w:lang w:val="en-US" w:eastAsia="zh-CN"/>
        </w:rPr>
      </w:pPr>
      <w:r>
        <w:rPr>
          <w:rFonts w:hint="eastAsia"/>
          <w:lang w:val="en-US" w:eastAsia="zh-CN"/>
        </w:rPr>
        <w:t>U-Blot</w:t>
      </w:r>
      <w:r>
        <w:rPr>
          <w:rFonts w:hint="eastAsia"/>
          <w:vertAlign w:val="superscript"/>
          <w:lang w:val="en-US" w:eastAsia="zh-CN"/>
        </w:rPr>
        <w:t>®</w:t>
      </w:r>
      <w:r>
        <w:rPr>
          <w:lang w:val="en-US" w:eastAsia="zh-CN"/>
        </w:rPr>
        <w:t xml:space="preserve"> </w:t>
      </w:r>
      <w:r>
        <w:rPr>
          <w:rFonts w:hint="eastAsia"/>
          <w:lang w:val="en-US" w:eastAsia="zh-CN"/>
        </w:rPr>
        <w:t>Femto-Sensitive</w:t>
      </w:r>
      <w:r>
        <w:rPr>
          <w:lang w:val="en-US" w:eastAsia="zh-CN"/>
        </w:rPr>
        <w:t xml:space="preserve"> ECL Solution can be used to detect HRP-labeled probes or antigen-antibody complexes in Western Blot, Northern Blot, Southern Blot, Dot Blot, and other experiments.</w:t>
      </w:r>
    </w:p>
    <w:p w14:paraId="77970737">
      <w:pPr>
        <w:bidi w:val="0"/>
        <w:rPr>
          <w:rFonts w:hint="eastAsia" w:ascii="Times New Roman" w:hAnsi="Times New Roman" w:eastAsia="微软雅黑" w:cs="Times New Roman"/>
          <w:b/>
          <w:kern w:val="2"/>
          <w:sz w:val="30"/>
          <w:szCs w:val="24"/>
          <w:lang w:val="en-US" w:eastAsia="zh-CN" w:bidi="ar-SA"/>
        </w:rPr>
      </w:pPr>
      <w:r>
        <w:rPr>
          <w:rFonts w:hint="eastAsia" w:ascii="Times New Roman" w:hAnsi="Times New Roman" w:eastAsia="微软雅黑" w:cs="Times New Roman"/>
          <w:b/>
          <w:kern w:val="2"/>
          <w:sz w:val="30"/>
          <w:szCs w:val="24"/>
          <w:lang w:val="en-US" w:eastAsia="zh-CN" w:bidi="ar-SA"/>
        </w:rPr>
        <w:t>Storage and stability:</w:t>
      </w:r>
    </w:p>
    <w:p w14:paraId="49AEFC6C">
      <w:pPr>
        <w:bidi w:val="0"/>
        <w:ind w:firstLine="560" w:firstLineChars="200"/>
        <w:rPr>
          <w:rFonts w:hint="eastAsia"/>
          <w:lang w:val="en-US" w:eastAsia="zh-CN"/>
        </w:rPr>
      </w:pPr>
      <w:r>
        <w:rPr>
          <w:lang w:val="en-US" w:eastAsia="zh-CN"/>
        </w:rPr>
        <w:t xml:space="preserve">If stored and transported in a dry, sealed condition at room temperature (2-30℃) away from light, the shelf life is up to 1 year. If stored in a refrigerated condition at 2-8℃ away from light, the shelf life </w:t>
      </w:r>
      <w:r>
        <w:rPr>
          <w:rFonts w:hint="eastAsia"/>
          <w:lang w:val="en-US" w:eastAsia="zh-CN"/>
        </w:rPr>
        <w:drawing>
          <wp:anchor distT="0" distB="0" distL="114300" distR="114300" simplePos="0" relativeHeight="251662336" behindDoc="1" locked="0" layoutInCell="1" allowOverlap="1">
            <wp:simplePos x="0" y="0"/>
            <wp:positionH relativeFrom="column">
              <wp:posOffset>-1207135</wp:posOffset>
            </wp:positionH>
            <wp:positionV relativeFrom="paragraph">
              <wp:posOffset>-894715</wp:posOffset>
            </wp:positionV>
            <wp:extent cx="7578090" cy="10703560"/>
            <wp:effectExtent l="0" t="0" r="11430" b="10160"/>
            <wp:wrapNone/>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r>
        <w:rPr>
          <w:lang w:val="en-US" w:eastAsia="zh-CN"/>
        </w:rPr>
        <w:t>is up to 2 years.</w:t>
      </w:r>
    </w:p>
    <w:p w14:paraId="33DE8766">
      <w:pPr>
        <w:pStyle w:val="3"/>
        <w:bidi w:val="0"/>
        <w:rPr>
          <w:rFonts w:hint="eastAsia"/>
          <w:lang w:val="en-US" w:eastAsia="zh-CN"/>
        </w:rPr>
      </w:pPr>
      <w:r>
        <w:rPr>
          <w:rFonts w:hint="default"/>
          <w:lang w:val="en-US" w:eastAsia="zh-CN"/>
        </w:rPr>
        <w:t>Important Product Information</w:t>
      </w:r>
    </w:p>
    <w:p w14:paraId="7189497E">
      <w:pPr>
        <w:numPr>
          <w:ilvl w:val="0"/>
          <w:numId w:val="1"/>
        </w:numPr>
        <w:bidi w:val="0"/>
        <w:ind w:left="420" w:leftChars="0" w:hanging="420" w:firstLineChars="0"/>
        <w:rPr>
          <w:lang w:val="en-US" w:eastAsia="zh-CN"/>
        </w:rPr>
      </w:pPr>
      <w:r>
        <w:rPr>
          <w:b/>
          <w:bCs/>
          <w:lang w:val="en-US" w:eastAsia="zh-CN"/>
        </w:rPr>
        <w:t xml:space="preserve">Ultra-sensitive: </w:t>
      </w:r>
      <w:r>
        <w:rPr>
          <w:lang w:val="en-US" w:eastAsia="zh-CN"/>
        </w:rPr>
        <w:t>With extremely high sensitivity and a high signal-to-noise ratio, it can detect low femtogram antigens.</w:t>
      </w:r>
    </w:p>
    <w:p w14:paraId="6CC84742">
      <w:pPr>
        <w:numPr>
          <w:ilvl w:val="0"/>
          <w:numId w:val="1"/>
        </w:numPr>
        <w:bidi w:val="0"/>
        <w:ind w:left="420" w:leftChars="0" w:hanging="420" w:firstLineChars="0"/>
        <w:rPr>
          <w:lang w:val="en-US" w:eastAsia="zh-CN"/>
        </w:rPr>
      </w:pPr>
      <w:r>
        <w:rPr>
          <w:b/>
          <w:bCs/>
          <w:lang w:val="en-US" w:eastAsia="zh-CN"/>
        </w:rPr>
        <w:t>Low background:</w:t>
      </w:r>
      <w:r>
        <w:rPr>
          <w:lang w:val="en-US" w:eastAsia="zh-CN"/>
        </w:rPr>
        <w:t xml:space="preserve"> Contains a precise luminescent substrate to improve the signal-to-noise ratio, offering higher sensitivity and lower background.</w:t>
      </w:r>
    </w:p>
    <w:p w14:paraId="59192C32">
      <w:pPr>
        <w:numPr>
          <w:ilvl w:val="0"/>
          <w:numId w:val="1"/>
        </w:numPr>
        <w:bidi w:val="0"/>
        <w:ind w:left="420" w:leftChars="0" w:hanging="420" w:firstLineChars="0"/>
        <w:rPr>
          <w:lang w:val="en-US" w:eastAsia="zh-CN"/>
        </w:rPr>
      </w:pPr>
      <w:r>
        <w:rPr>
          <w:b/>
          <w:bCs/>
          <w:lang w:val="en-US" w:eastAsia="zh-CN"/>
        </w:rPr>
        <w:t xml:space="preserve">Strong signal: </w:t>
      </w:r>
      <w:r>
        <w:rPr>
          <w:lang w:val="en-US" w:eastAsia="zh-CN"/>
        </w:rPr>
        <w:t>The unique luminescent formula provides up to 8 hours of luminescence, making exposure operations easy.</w:t>
      </w:r>
    </w:p>
    <w:p w14:paraId="6C349566">
      <w:pPr>
        <w:numPr>
          <w:ilvl w:val="0"/>
          <w:numId w:val="1"/>
        </w:numPr>
        <w:bidi w:val="0"/>
        <w:ind w:left="420" w:leftChars="0" w:hanging="420" w:firstLineChars="0"/>
        <w:rPr>
          <w:rFonts w:hint="default"/>
          <w:lang w:val="en-US" w:eastAsia="zh-CN"/>
        </w:rPr>
      </w:pPr>
      <w:r>
        <w:rPr>
          <w:b/>
          <w:bCs/>
          <w:lang w:val="en-US" w:eastAsia="zh-CN"/>
        </w:rPr>
        <w:t xml:space="preserve">Stable: </w:t>
      </w:r>
      <w:r>
        <w:rPr>
          <w:lang w:val="en-US" w:eastAsia="zh-CN"/>
        </w:rPr>
        <w:t>Contains a unique luminescent stabilizer.</w:t>
      </w:r>
    </w:p>
    <w:p w14:paraId="134E0FDB">
      <w:pPr>
        <w:pStyle w:val="3"/>
        <w:bidi w:val="0"/>
        <w:rPr>
          <w:rFonts w:hint="default"/>
          <w:lang w:val="en-US" w:eastAsia="zh-CN"/>
        </w:rPr>
      </w:pPr>
      <w:r>
        <w:rPr>
          <w:rFonts w:hint="default"/>
          <w:lang w:val="en-US" w:eastAsia="zh-CN"/>
        </w:rPr>
        <w:t>Instructions for use</w:t>
      </w:r>
    </w:p>
    <w:p w14:paraId="5386AAFD">
      <w:pPr>
        <w:numPr>
          <w:ilvl w:val="0"/>
          <w:numId w:val="2"/>
        </w:numPr>
        <w:bidi w:val="0"/>
        <w:ind w:left="0" w:leftChars="0" w:firstLine="560" w:firstLineChars="200"/>
      </w:pPr>
      <w:r>
        <w:t>An ideal Western blot result requires optimizing all experimental steps, such as sample loading, gel type, transfer method, membrane type, blocking reagent, primary antibody concentration, secondary antibody concentration, and incubation times. Also, ensure sufficient incubation reagents are provided at each step to avoid membrane drying.</w:t>
      </w:r>
    </w:p>
    <w:p w14:paraId="47492DC8">
      <w:pPr>
        <w:numPr>
          <w:ilvl w:val="0"/>
          <w:numId w:val="2"/>
        </w:numPr>
        <w:bidi w:val="0"/>
        <w:ind w:left="0" w:leftChars="0" w:firstLine="560" w:firstLineChars="200"/>
      </w:pPr>
      <w:r>
        <w:t>Perform routine electrophoresis, transfer, HRP-labeled antibody or HRP-labeled nucleic acid probe incubation, and membrane washing.</w:t>
      </w:r>
      <w:r>
        <w:br w:type="textWrapping"/>
      </w:r>
      <w:r>
        <w:t>Note: ECL luminescent liquid is the substrate for HRP, so the detection system must use HRP enzyme-labeled antibodies or nucleic acid probes.</w:t>
      </w:r>
    </w:p>
    <w:p w14:paraId="06FBE5AA">
      <w:pPr>
        <w:numPr>
          <w:ilvl w:val="0"/>
          <w:numId w:val="2"/>
        </w:numPr>
        <w:bidi w:val="0"/>
        <w:ind w:left="0" w:leftChars="0" w:firstLine="560" w:firstLineChars="200"/>
      </w:pPr>
      <w:r>
        <w:t xml:space="preserve">During the last wash of the membrane, freshly prepare the luminescent working solution by mixing equal volumes of solution A and </w:t>
      </w:r>
    </w:p>
    <w:p w14:paraId="5A03B87C">
      <w:pPr>
        <w:numPr>
          <w:ilvl w:val="0"/>
          <w:numId w:val="0"/>
        </w:numPr>
        <w:bidi w:val="0"/>
        <w:ind w:left="560" w:hanging="560" w:hangingChars="200"/>
      </w:pPr>
      <w:r>
        <w:rPr>
          <w:rFonts w:hint="eastAsia"/>
          <w:lang w:val="en-US" w:eastAsia="zh-CN"/>
        </w:rPr>
        <w:drawing>
          <wp:anchor distT="0" distB="0" distL="114300" distR="114300" simplePos="0" relativeHeight="251663360" behindDoc="1" locked="0" layoutInCell="1" allowOverlap="1">
            <wp:simplePos x="0" y="0"/>
            <wp:positionH relativeFrom="column">
              <wp:posOffset>-1151255</wp:posOffset>
            </wp:positionH>
            <wp:positionV relativeFrom="paragraph">
              <wp:posOffset>-909955</wp:posOffset>
            </wp:positionV>
            <wp:extent cx="7578090" cy="10703560"/>
            <wp:effectExtent l="0" t="0" r="11430" b="10160"/>
            <wp:wrapNone/>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p>
    <w:p w14:paraId="024A2BF1">
      <w:pPr>
        <w:numPr>
          <w:ilvl w:val="0"/>
          <w:numId w:val="0"/>
        </w:numPr>
        <w:bidi w:val="0"/>
        <w:ind w:left="560" w:hanging="560" w:hangingChars="200"/>
      </w:pPr>
      <w:r>
        <w:t>solution B. Allow the mixture to reach room temperature before use.</w:t>
      </w:r>
      <w:r>
        <w:br w:type="textWrapping"/>
      </w:r>
      <w:r>
        <w:rPr>
          <w:b/>
          <w:bCs/>
        </w:rPr>
        <w:t xml:space="preserve">Note: </w:t>
      </w:r>
      <w:r>
        <w:t>Use separate pipette tips for solution A and B.</w:t>
      </w:r>
    </w:p>
    <w:p w14:paraId="7BA5FC7B">
      <w:pPr>
        <w:numPr>
          <w:ilvl w:val="0"/>
          <w:numId w:val="2"/>
        </w:numPr>
        <w:bidi w:val="0"/>
        <w:ind w:left="0" w:leftChars="0" w:firstLine="560" w:firstLineChars="200"/>
      </w:pPr>
      <w:r>
        <w:t>Using flat-head tweezers, remove the membrane and place it on filter paper to drain the washing solution. Avoid letting the membrane dry completely. Immerse the membrane fully in the luminescent working solution (100-200 μL/cm² of membrane) to ensure complete contact with the solution. Incubate at room temperature for 3-5 minutes, then proceed with exposure.</w:t>
      </w:r>
      <w:r>
        <w:br w:type="textWrapping"/>
      </w:r>
      <w:r>
        <w:rPr>
          <w:rFonts w:hint="eastAsia"/>
          <w:lang w:val="en-US" w:eastAsia="zh-CN"/>
        </w:rPr>
        <w:t xml:space="preserve">    </w:t>
      </w:r>
      <w:r>
        <w:rPr>
          <w:b/>
          <w:bCs/>
        </w:rPr>
        <w:t xml:space="preserve">Note: </w:t>
      </w:r>
      <w:r>
        <w:t>Extended incubation times will not increase sensitivity and may cause abnormal band exposure. Using too little luminescent solution can result in uneven exposure and reduced sensitivity. To save on solution, the membrane can be cut smaller, but the amount of luminescent solution used should remain the same.</w:t>
      </w:r>
    </w:p>
    <w:p w14:paraId="10B4E9B4">
      <w:pPr>
        <w:numPr>
          <w:ilvl w:val="0"/>
          <w:numId w:val="2"/>
        </w:numPr>
        <w:bidi w:val="0"/>
        <w:ind w:left="0" w:leftChars="0" w:firstLine="560" w:firstLineChars="200"/>
        <w:rPr>
          <w:rFonts w:ascii="Times New Roman" w:hAnsi="Times New Roman" w:eastAsia="微软雅黑" w:cs="Times New Roman"/>
          <w:kern w:val="2"/>
          <w:sz w:val="28"/>
          <w:szCs w:val="24"/>
          <w:lang w:val="en-US" w:eastAsia="zh-CN" w:bidi="ar-SA"/>
        </w:rPr>
      </w:pPr>
      <w:r>
        <w:t>Using flat-head tweezers, gently touch the lower edge of the membrane with absorbent paper to remove excess solution. Leave a small amount of working solution, but do not allow the membrane to dry completely. Do not wash off the luminescent solution.</w:t>
      </w:r>
    </w:p>
    <w:p w14:paraId="6FD794AA">
      <w:pPr>
        <w:numPr>
          <w:ilvl w:val="0"/>
          <w:numId w:val="2"/>
        </w:numPr>
        <w:bidi w:val="0"/>
        <w:ind w:left="0" w:leftChars="0" w:firstLine="560" w:firstLineChars="200"/>
      </w:pPr>
      <w:r>
        <w:t>Place the blot membrane into the imaging device, and adjust the placement orientation of the membrane in accordance with the instrument instructions.</w:t>
      </w:r>
      <w:r>
        <w:t>Expose for varying times (a few seconds to a few minutes), then fix, develop, and rinse the film.</w:t>
      </w:r>
      <w:r>
        <w:br w:type="textWrapping"/>
      </w:r>
      <w:r>
        <w:rPr>
          <w:rFonts w:hint="eastAsia"/>
          <w:lang w:val="en-US" w:eastAsia="zh-CN"/>
        </w:rPr>
        <w:t xml:space="preserve">    </w:t>
      </w:r>
      <w:r>
        <w:rPr>
          <w:b/>
          <w:bCs/>
        </w:rPr>
        <w:t xml:space="preserve">Note: </w:t>
      </w:r>
      <w:r>
        <w:t>Adjust exposure time based on inte</w:t>
      </w:r>
      <w:r>
        <w:rPr>
          <w:rFonts w:hint="eastAsia"/>
          <w:lang w:val="en-US" w:eastAsia="zh-CN"/>
        </w:rPr>
        <w:drawing>
          <wp:anchor distT="0" distB="0" distL="114300" distR="114300" simplePos="0" relativeHeight="251664384" behindDoc="1" locked="0" layoutInCell="1" allowOverlap="1">
            <wp:simplePos x="0" y="0"/>
            <wp:positionH relativeFrom="column">
              <wp:posOffset>-1151255</wp:posOffset>
            </wp:positionH>
            <wp:positionV relativeFrom="paragraph">
              <wp:posOffset>-909955</wp:posOffset>
            </wp:positionV>
            <wp:extent cx="7578090" cy="10703560"/>
            <wp:effectExtent l="0" t="0" r="11430" b="10160"/>
            <wp:wrapNone/>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r>
        <w:t xml:space="preserve">nsity. </w:t>
      </w:r>
    </w:p>
    <w:p w14:paraId="5AA8BA8C">
      <w:pPr>
        <w:pStyle w:val="3"/>
        <w:bidi w:val="0"/>
      </w:pPr>
      <w:r>
        <w:rPr>
          <w:rFonts w:hint="eastAsia"/>
          <w:lang w:val="en-US" w:eastAsia="zh-CN"/>
        </w:rPr>
        <w:t>Tech notes</w:t>
      </w:r>
    </w:p>
    <w:p w14:paraId="7AD53396">
      <w:pPr>
        <w:numPr>
          <w:ilvl w:val="0"/>
          <w:numId w:val="3"/>
        </w:numPr>
        <w:bidi w:val="0"/>
        <w:ind w:left="0" w:leftChars="0" w:firstLine="560" w:firstLineChars="200"/>
      </w:pPr>
      <w:r>
        <w:t>To achieve the best results, optimize experimental conditions, including sample amount, primary and secondary antibody dilution, and selection of hybridization membranes and blocking reagents.</w:t>
      </w:r>
    </w:p>
    <w:p w14:paraId="22A162F2">
      <w:pPr>
        <w:numPr>
          <w:ilvl w:val="0"/>
          <w:numId w:val="3"/>
        </w:numPr>
        <w:bidi w:val="0"/>
        <w:ind w:left="0" w:leftChars="0" w:firstLine="560" w:firstLineChars="200"/>
      </w:pPr>
      <w:r>
        <w:t>Steps 1 to 5 can be performed under fluorescent lights; however, prolonged exposure of the luminescent solution to strong light may reduce sensitivity. This can be avoided by moving to a darkroom. Wearing gloves prevents fingerprints and keeps the membrane clean.</w:t>
      </w:r>
    </w:p>
    <w:p w14:paraId="0A93D22D">
      <w:pPr>
        <w:numPr>
          <w:ilvl w:val="0"/>
          <w:numId w:val="3"/>
        </w:numPr>
        <w:bidi w:val="0"/>
        <w:ind w:left="0" w:leftChars="0" w:firstLine="560" w:firstLineChars="200"/>
      </w:pPr>
      <w:r>
        <w:t>Long exposure or excessive protein will increase background intensity, causing bands to lose their linear relationship. Insufficient exposure will blur the bands.</w:t>
      </w:r>
    </w:p>
    <w:p w14:paraId="09C805D5">
      <w:pPr>
        <w:numPr>
          <w:ilvl w:val="0"/>
          <w:numId w:val="3"/>
        </w:numPr>
        <w:bidi w:val="0"/>
        <w:ind w:left="0" w:leftChars="0" w:firstLine="560" w:firstLineChars="200"/>
      </w:pPr>
      <w:r>
        <w:t>After incubating with the luminescent working solution for 3-5 minutes, bands will glow. Weak bands can be exposed for 1-10 hours. If the bands are unsatisfactory, wash the membrane, re-incubate with the secondary antibody, and re-expose with ECL.</w:t>
      </w:r>
    </w:p>
    <w:p w14:paraId="6DDBDB6F">
      <w:pPr>
        <w:numPr>
          <w:ilvl w:val="0"/>
          <w:numId w:val="3"/>
        </w:numPr>
        <w:bidi w:val="0"/>
        <w:ind w:left="0" w:leftChars="0" w:firstLine="560" w:firstLineChars="200"/>
      </w:pPr>
      <w:r>
        <w:t>Due to the high sensitivity of the luminescent solution, use primary antibody concentrations (1 mg/ml stock) diluted 1:5000-</w:t>
      </w:r>
      <w:r>
        <w:rPr>
          <w:rFonts w:hint="eastAsia"/>
          <w:lang w:val="en-US" w:eastAsia="zh-CN"/>
        </w:rPr>
        <w:t xml:space="preserve"> </w:t>
      </w:r>
      <w:r>
        <w:t>1:100000 and secondary antibody concentrations (1 mg/ml stock) diluted 1:100,000-1:500,000. Excessive antibody concentration may cause high background or no bands.</w:t>
      </w:r>
    </w:p>
    <w:p w14:paraId="7AAC5DED">
      <w:pPr>
        <w:numPr>
          <w:ilvl w:val="0"/>
          <w:numId w:val="3"/>
        </w:numPr>
        <w:bidi w:val="0"/>
        <w:ind w:left="0" w:leftChars="0" w:firstLine="560" w:firstLineChars="200"/>
      </w:pPr>
      <w:r>
        <w:t>Keep the blot membrane wet throughout the experiment; avoid drying it out.</w:t>
      </w:r>
    </w:p>
    <w:p w14:paraId="39B1DC54">
      <w:pPr>
        <w:numPr>
          <w:ilvl w:val="0"/>
          <w:numId w:val="3"/>
        </w:numPr>
        <w:bidi w:val="0"/>
        <w:ind w:left="0" w:leftChars="0" w:firstLine="560" w:firstLineChars="200"/>
      </w:pPr>
      <w:r>
        <w:t>For optimal results, use a sh</w:t>
      </w:r>
      <w:r>
        <w:rPr>
          <w:rFonts w:hint="eastAsia"/>
          <w:lang w:val="en-US" w:eastAsia="zh-CN"/>
        </w:rPr>
        <w:drawing>
          <wp:anchor distT="0" distB="0" distL="114300" distR="114300" simplePos="0" relativeHeight="251665408" behindDoc="1" locked="0" layoutInCell="1" allowOverlap="1">
            <wp:simplePos x="0" y="0"/>
            <wp:positionH relativeFrom="column">
              <wp:posOffset>-1151255</wp:posOffset>
            </wp:positionH>
            <wp:positionV relativeFrom="paragraph">
              <wp:posOffset>-1306195</wp:posOffset>
            </wp:positionV>
            <wp:extent cx="7578090" cy="10703560"/>
            <wp:effectExtent l="0" t="0" r="11430" b="10160"/>
            <wp:wrapNone/>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r>
        <w:t>aker for antibody incubation and membrane washing. Do not place multiple membranes in the same wash box, as mutual adsorption or friction may cause a high background.</w:t>
      </w:r>
    </w:p>
    <w:p w14:paraId="70B64FE2">
      <w:pPr>
        <w:numPr>
          <w:ilvl w:val="0"/>
          <w:numId w:val="3"/>
        </w:numPr>
        <w:bidi w:val="0"/>
        <w:ind w:left="0" w:leftChars="0" w:firstLine="560" w:firstLineChars="200"/>
      </w:pPr>
      <w:r>
        <w:t>Use pre-stained protein markers to accurately determine the position and size of bands on the film. Fluorescent-radioautographic exposure labels can also help.</w:t>
      </w:r>
    </w:p>
    <w:p w14:paraId="00AA2482">
      <w:pPr>
        <w:numPr>
          <w:ilvl w:val="0"/>
          <w:numId w:val="3"/>
        </w:numPr>
        <w:bidi w:val="0"/>
        <w:ind w:left="0" w:leftChars="0" w:firstLine="560" w:firstLineChars="200"/>
      </w:pPr>
      <w:r>
        <w:t>Use clean equipment. Ensure non-metallic tools are free of scratches and metal tools are rust-free. Rust can cause stains or high background.</w:t>
      </w:r>
    </w:p>
    <w:p w14:paraId="6D92F5D5">
      <w:pPr>
        <w:numPr>
          <w:ilvl w:val="0"/>
          <w:numId w:val="3"/>
        </w:numPr>
        <w:bidi w:val="0"/>
        <w:ind w:left="0" w:leftChars="0" w:firstLine="560" w:firstLineChars="200"/>
      </w:pPr>
      <w:r>
        <w:t xml:space="preserve">The chemiluminescent detection substrate working solution is stable at room temperature for 8 hours in light-proof conditions. </w:t>
      </w:r>
    </w:p>
    <w:p w14:paraId="1D78A8F4">
      <w:pPr>
        <w:numPr>
          <w:ilvl w:val="0"/>
          <w:numId w:val="0"/>
        </w:numPr>
        <w:bidi w:val="0"/>
      </w:pPr>
      <w:r>
        <w:t>Prolonged exposure to strong light can degrade the solution. For best results, store the solution in a brown bottle to prevent light exposure. Short-term exposure to normal laboratory light is acceptable.</w:t>
      </w:r>
    </w:p>
    <w:p w14:paraId="67DA714D">
      <w:pPr>
        <w:numPr>
          <w:ilvl w:val="0"/>
          <w:numId w:val="3"/>
        </w:numPr>
        <w:bidi w:val="0"/>
        <w:ind w:left="0" w:leftChars="0" w:firstLine="560" w:firstLineChars="200"/>
      </w:pPr>
      <w:r>
        <w:t>Sodium azide (NaN3) can inhibit HRP activity. Avoid using NaN3 if recovering HRP-labeled probes or antibodies.</w:t>
      </w:r>
    </w:p>
    <w:p w14:paraId="174BC04E">
      <w:pPr>
        <w:pStyle w:val="3"/>
        <w:bidi w:val="0"/>
        <w:rPr>
          <w:rFonts w:hint="default"/>
          <w:lang w:val="en-US" w:eastAsia="zh-CN"/>
        </w:rPr>
      </w:pPr>
      <w:r>
        <w:rPr>
          <w:rFonts w:hint="default"/>
          <w:lang w:val="en-US" w:eastAsia="zh-CN"/>
        </w:rPr>
        <w:t>Troubleshooting</w:t>
      </w:r>
    </w:p>
    <w:tbl>
      <w:tblPr>
        <w:tblStyle w:val="11"/>
        <w:tblW w:w="90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7694"/>
      </w:tblGrid>
      <w:tr w14:paraId="1135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nil"/>
              <w:bottom w:val="single" w:color="7030A0" w:sz="12" w:space="0"/>
              <w:right w:val="nil"/>
            </w:tcBorders>
          </w:tcPr>
          <w:p w14:paraId="70C9A1C8">
            <w:pPr>
              <w:rPr>
                <w:rFonts w:hint="eastAsia"/>
                <w:vertAlign w:val="baseline"/>
              </w:rPr>
            </w:pPr>
            <w:r>
              <w:rPr>
                <w:rFonts w:hint="eastAsia"/>
              </w:rPr>
              <w:t>Questions</w:t>
            </w:r>
          </w:p>
        </w:tc>
        <w:tc>
          <w:tcPr>
            <w:tcW w:w="7694" w:type="dxa"/>
            <w:tcBorders>
              <w:top w:val="nil"/>
              <w:left w:val="nil"/>
              <w:bottom w:val="single" w:color="7030A0" w:sz="12" w:space="0"/>
              <w:right w:val="nil"/>
            </w:tcBorders>
          </w:tcPr>
          <w:p w14:paraId="0AA6C22D">
            <w:pPr>
              <w:numPr>
                <w:ilvl w:val="0"/>
                <w:numId w:val="0"/>
              </w:numPr>
              <w:bidi w:val="0"/>
              <w:rPr>
                <w:rFonts w:hint="eastAsia"/>
              </w:rPr>
            </w:pPr>
            <w:r>
              <w:rPr>
                <w:rFonts w:hint="eastAsia"/>
              </w:rPr>
              <w:t>Brown or yellow bands appear on the membrane</w:t>
            </w:r>
          </w:p>
          <w:p w14:paraId="2A3BCD99">
            <w:pPr>
              <w:numPr>
                <w:ilvl w:val="0"/>
                <w:numId w:val="0"/>
              </w:numPr>
              <w:bidi w:val="0"/>
              <w:rPr>
                <w:rFonts w:hint="eastAsia"/>
              </w:rPr>
            </w:pPr>
            <w:r>
              <w:rPr>
                <w:rFonts w:hint="eastAsia"/>
              </w:rPr>
              <w:t>Short luminous time</w:t>
            </w:r>
          </w:p>
          <w:p w14:paraId="5A53DAB8">
            <w:pPr>
              <w:numPr>
                <w:ilvl w:val="0"/>
                <w:numId w:val="0"/>
              </w:numPr>
              <w:bidi w:val="0"/>
              <w:rPr>
                <w:rFonts w:hint="eastAsia"/>
                <w:vertAlign w:val="baseline"/>
              </w:rPr>
            </w:pPr>
            <w:r>
              <w:rPr>
                <w:rFonts w:hint="eastAsia"/>
              </w:rPr>
              <w:t>The entire membrane emits light</w:t>
            </w:r>
            <w:r>
              <w:rPr>
                <w:rFonts w:hint="eastAsia"/>
                <w:lang w:val="en-US" w:eastAsia="zh-CN"/>
              </w:rPr>
              <w:t xml:space="preserve"> </w:t>
            </w:r>
          </w:p>
        </w:tc>
      </w:tr>
      <w:tr w14:paraId="0E9C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single" w:color="7030A0" w:sz="12" w:space="0"/>
              <w:bottom w:val="nil"/>
              <w:right w:val="nil"/>
            </w:tcBorders>
          </w:tcPr>
          <w:p w14:paraId="3299257D">
            <w:pPr>
              <w:rPr>
                <w:rFonts w:hint="eastAsia"/>
                <w:vertAlign w:val="baseline"/>
              </w:rPr>
            </w:pPr>
            <w:r>
              <w:rPr>
                <w:rFonts w:hint="eastAsia"/>
                <w:lang w:val="en-US" w:eastAsia="zh-CN"/>
              </w:rPr>
              <w:t>C</w:t>
            </w:r>
            <w:r>
              <w:rPr>
                <w:rFonts w:hint="eastAsia"/>
              </w:rPr>
              <w:t>ause</w:t>
            </w:r>
          </w:p>
        </w:tc>
        <w:tc>
          <w:tcPr>
            <w:tcW w:w="7694" w:type="dxa"/>
            <w:tcBorders>
              <w:top w:val="single" w:color="7030A0" w:sz="12" w:space="0"/>
              <w:left w:val="nil"/>
              <w:bottom w:val="nil"/>
              <w:right w:val="single" w:color="7030A0" w:sz="12" w:space="0"/>
            </w:tcBorders>
          </w:tcPr>
          <w:p w14:paraId="706106ED">
            <w:pPr>
              <w:rPr>
                <w:rFonts w:hint="eastAsia"/>
                <w:vertAlign w:val="baseline"/>
              </w:rPr>
            </w:pPr>
            <w:r>
              <w:rPr>
                <w:rFonts w:hint="eastAsia"/>
              </w:rPr>
              <w:t>HRP</w:t>
            </w:r>
            <w:r>
              <w:rPr>
                <w:rFonts w:hint="eastAsia"/>
                <w:lang w:val="en-US" w:eastAsia="zh-CN"/>
              </w:rPr>
              <w:t xml:space="preserve"> </w:t>
            </w:r>
            <w:r>
              <w:rPr>
                <w:rFonts w:hint="eastAsia"/>
              </w:rPr>
              <w:t>excessive</w:t>
            </w:r>
          </w:p>
        </w:tc>
      </w:tr>
      <w:tr w14:paraId="26B7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tcPr>
          <w:p w14:paraId="7B52A7EC">
            <w:pPr>
              <w:rPr>
                <w:rFonts w:hint="eastAsia"/>
                <w:vertAlign w:val="baseline"/>
              </w:rPr>
            </w:pPr>
            <w:r>
              <w:rPr>
                <w:rFonts w:hint="eastAsia"/>
              </w:rPr>
              <w:t>Solutions</w:t>
            </w:r>
          </w:p>
        </w:tc>
        <w:tc>
          <w:tcPr>
            <w:tcW w:w="7694" w:type="dxa"/>
            <w:tcBorders>
              <w:top w:val="nil"/>
              <w:left w:val="nil"/>
              <w:bottom w:val="single" w:color="7030A0" w:sz="12" w:space="0"/>
              <w:right w:val="single" w:color="7030A0" w:sz="12" w:space="0"/>
            </w:tcBorders>
          </w:tcPr>
          <w:p w14:paraId="3D1D1356">
            <w:pPr>
              <w:rPr>
                <w:rFonts w:hint="eastAsia"/>
                <w:vertAlign w:val="baseline"/>
              </w:rPr>
            </w:pPr>
            <w:r>
              <w:rPr>
                <w:rFonts w:hint="eastAsia"/>
              </w:rPr>
              <w:t>Dilute HRP-second</w:t>
            </w:r>
            <w:r>
              <w:rPr>
                <w:rFonts w:hint="eastAsia"/>
                <w:lang w:val="en-US" w:eastAsia="zh-CN"/>
              </w:rPr>
              <w:drawing>
                <wp:anchor distT="0" distB="0" distL="114300" distR="114300" simplePos="0" relativeHeight="251666432" behindDoc="1" locked="0" layoutInCell="1" allowOverlap="1">
                  <wp:simplePos x="0" y="0"/>
                  <wp:positionH relativeFrom="column">
                    <wp:posOffset>-2037080</wp:posOffset>
                  </wp:positionH>
                  <wp:positionV relativeFrom="paragraph">
                    <wp:posOffset>-909955</wp:posOffset>
                  </wp:positionV>
                  <wp:extent cx="7578090" cy="10703560"/>
                  <wp:effectExtent l="0" t="0" r="11430" b="10160"/>
                  <wp:wrapNone/>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r>
              <w:rPr>
                <w:rFonts w:hint="eastAsia"/>
              </w:rPr>
              <w:t>ary antibody to appropriate concentration</w:t>
            </w:r>
          </w:p>
        </w:tc>
      </w:tr>
      <w:tr w14:paraId="3963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nil"/>
              <w:bottom w:val="nil"/>
              <w:right w:val="nil"/>
            </w:tcBorders>
          </w:tcPr>
          <w:p w14:paraId="2E2FBE12">
            <w:pPr>
              <w:rPr>
                <w:rFonts w:hint="eastAsia"/>
                <w:vertAlign w:val="baseline"/>
              </w:rPr>
            </w:pPr>
            <w:r>
              <w:rPr>
                <w:rFonts w:hint="eastAsia"/>
              </w:rPr>
              <w:t>Questions</w:t>
            </w:r>
          </w:p>
        </w:tc>
        <w:tc>
          <w:tcPr>
            <w:tcW w:w="7694" w:type="dxa"/>
            <w:tcBorders>
              <w:top w:val="single" w:color="7030A0" w:sz="12" w:space="0"/>
              <w:left w:val="nil"/>
              <w:bottom w:val="nil"/>
              <w:right w:val="nil"/>
            </w:tcBorders>
          </w:tcPr>
          <w:p w14:paraId="632BF6C5">
            <w:pPr>
              <w:rPr>
                <w:rFonts w:hint="eastAsia"/>
                <w:vertAlign w:val="baseline"/>
              </w:rPr>
            </w:pPr>
            <w:r>
              <w:rPr>
                <w:rFonts w:hint="eastAsia"/>
              </w:rPr>
              <w:t>No signal or weak signal</w:t>
            </w:r>
          </w:p>
        </w:tc>
      </w:tr>
      <w:tr w14:paraId="7D6E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single" w:color="7030A0" w:sz="12" w:space="0"/>
              <w:bottom w:val="nil"/>
              <w:right w:val="nil"/>
            </w:tcBorders>
          </w:tcPr>
          <w:p w14:paraId="7AAEE5A5">
            <w:pPr>
              <w:rPr>
                <w:rFonts w:hint="eastAsia"/>
                <w:lang w:val="en-US" w:eastAsia="zh-CN"/>
              </w:rPr>
            </w:pPr>
            <w:r>
              <w:rPr>
                <w:rFonts w:hint="eastAsia"/>
                <w:lang w:val="en-US" w:eastAsia="zh-CN"/>
              </w:rPr>
              <w:t>Cause</w:t>
            </w:r>
          </w:p>
        </w:tc>
        <w:tc>
          <w:tcPr>
            <w:tcW w:w="7694" w:type="dxa"/>
            <w:tcBorders>
              <w:top w:val="single" w:color="7030A0" w:sz="12" w:space="0"/>
              <w:left w:val="nil"/>
              <w:bottom w:val="nil"/>
              <w:right w:val="single" w:color="7030A0" w:sz="12" w:space="0"/>
            </w:tcBorders>
          </w:tcPr>
          <w:p w14:paraId="22078A60">
            <w:pPr>
              <w:rPr>
                <w:rFonts w:hint="eastAsia"/>
                <w:lang w:val="en-US" w:eastAsia="zh-CN"/>
              </w:rPr>
            </w:pPr>
            <w:r>
              <w:rPr>
                <w:rFonts w:hint="eastAsia"/>
                <w:lang w:val="en-US" w:eastAsia="zh-CN"/>
              </w:rPr>
              <w:t>Too much HRP causes fluorescence quenching</w:t>
            </w:r>
          </w:p>
        </w:tc>
      </w:tr>
      <w:tr w14:paraId="7117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tcPr>
          <w:p w14:paraId="393AFEE8">
            <w:pPr>
              <w:rPr>
                <w:rFonts w:hint="eastAsia"/>
                <w:lang w:val="en-US" w:eastAsia="zh-CN"/>
              </w:rPr>
            </w:pPr>
            <w:r>
              <w:rPr>
                <w:rFonts w:hint="eastAsia"/>
                <w:lang w:val="en-US" w:eastAsia="zh-CN"/>
              </w:rPr>
              <w:t>Solutions</w:t>
            </w:r>
          </w:p>
        </w:tc>
        <w:tc>
          <w:tcPr>
            <w:tcW w:w="7694" w:type="dxa"/>
            <w:tcBorders>
              <w:top w:val="nil"/>
              <w:left w:val="nil"/>
              <w:bottom w:val="single" w:color="7030A0" w:sz="12" w:space="0"/>
              <w:right w:val="single" w:color="7030A0" w:sz="12" w:space="0"/>
            </w:tcBorders>
          </w:tcPr>
          <w:p w14:paraId="25E60EBA">
            <w:pPr>
              <w:rPr>
                <w:rFonts w:hint="eastAsia"/>
                <w:lang w:val="en-US" w:eastAsia="zh-CN"/>
              </w:rPr>
            </w:pPr>
            <w:r>
              <w:rPr>
                <w:rFonts w:hint="eastAsia"/>
                <w:lang w:val="en-US" w:eastAsia="zh-CN"/>
              </w:rPr>
              <w:t>Dilute HRP-secondary antibody to appropriate concentration</w:t>
            </w:r>
          </w:p>
        </w:tc>
      </w:tr>
      <w:tr w14:paraId="2760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395" w:type="dxa"/>
            <w:tcBorders>
              <w:top w:val="single" w:color="7030A0" w:sz="12" w:space="0"/>
              <w:left w:val="single" w:color="7030A0" w:sz="12" w:space="0"/>
              <w:bottom w:val="nil"/>
              <w:right w:val="nil"/>
            </w:tcBorders>
            <w:shd w:val="clear" w:color="auto" w:fill="auto"/>
            <w:vAlign w:val="top"/>
          </w:tcPr>
          <w:p w14:paraId="5E92378C">
            <w:pPr>
              <w:rPr>
                <w:rFonts w:hint="eastAsia"/>
                <w:lang w:val="en-US" w:eastAsia="zh-CN"/>
              </w:rPr>
            </w:pPr>
            <w:r>
              <w:rPr>
                <w:rFonts w:hint="eastAsia"/>
                <w:lang w:val="en-US" w:eastAsia="zh-CN"/>
              </w:rPr>
              <w:t>Cause</w:t>
            </w:r>
          </w:p>
        </w:tc>
        <w:tc>
          <w:tcPr>
            <w:tcW w:w="7694" w:type="dxa"/>
            <w:tcBorders>
              <w:top w:val="single" w:color="7030A0" w:sz="12" w:space="0"/>
              <w:left w:val="nil"/>
              <w:bottom w:val="nil"/>
              <w:right w:val="single" w:color="7030A0" w:sz="12" w:space="0"/>
            </w:tcBorders>
          </w:tcPr>
          <w:p w14:paraId="7F033D9A">
            <w:pPr>
              <w:rPr>
                <w:rFonts w:hint="eastAsia"/>
                <w:lang w:val="en-US" w:eastAsia="zh-CN"/>
              </w:rPr>
            </w:pPr>
            <w:r>
              <w:rPr>
                <w:rFonts w:hint="eastAsia"/>
                <w:lang w:val="en-US" w:eastAsia="zh-CN"/>
              </w:rPr>
              <w:t>Antibody specificity is poor or ineffective</w:t>
            </w:r>
          </w:p>
        </w:tc>
      </w:tr>
      <w:tr w14:paraId="121A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shd w:val="clear" w:color="auto" w:fill="auto"/>
            <w:vAlign w:val="top"/>
          </w:tcPr>
          <w:p w14:paraId="6CDF009E">
            <w:pPr>
              <w:rPr>
                <w:rFonts w:hint="eastAsia"/>
                <w:lang w:val="en-US" w:eastAsia="zh-CN"/>
              </w:rPr>
            </w:pPr>
            <w:r>
              <w:rPr>
                <w:rFonts w:hint="eastAsia"/>
                <w:lang w:val="en-US" w:eastAsia="zh-CN"/>
              </w:rPr>
              <w:t>Solutions</w:t>
            </w:r>
          </w:p>
        </w:tc>
        <w:tc>
          <w:tcPr>
            <w:tcW w:w="7694" w:type="dxa"/>
            <w:tcBorders>
              <w:top w:val="nil"/>
              <w:left w:val="nil"/>
              <w:bottom w:val="single" w:color="7030A0" w:sz="12" w:space="0"/>
              <w:right w:val="single" w:color="7030A0" w:sz="12" w:space="0"/>
            </w:tcBorders>
          </w:tcPr>
          <w:p w14:paraId="1CEF2907">
            <w:pPr>
              <w:rPr>
                <w:rFonts w:hint="eastAsia"/>
                <w:lang w:val="en-US" w:eastAsia="zh-CN"/>
              </w:rPr>
            </w:pPr>
            <w:r>
              <w:rPr>
                <w:rFonts w:hint="eastAsia"/>
                <w:lang w:val="en-US" w:eastAsia="zh-CN"/>
              </w:rPr>
              <w:t>Change antibody</w:t>
            </w:r>
          </w:p>
        </w:tc>
      </w:tr>
      <w:tr w14:paraId="32E1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395" w:type="dxa"/>
            <w:tcBorders>
              <w:top w:val="single" w:color="7030A0" w:sz="12" w:space="0"/>
              <w:left w:val="single" w:color="7030A0" w:sz="12" w:space="0"/>
              <w:bottom w:val="nil"/>
              <w:right w:val="nil"/>
            </w:tcBorders>
            <w:shd w:val="clear" w:color="auto" w:fill="auto"/>
            <w:vAlign w:val="top"/>
          </w:tcPr>
          <w:p w14:paraId="0F445CEC">
            <w:pPr>
              <w:rPr>
                <w:rFonts w:hint="eastAsia"/>
                <w:lang w:val="en-US" w:eastAsia="zh-CN"/>
              </w:rPr>
            </w:pPr>
            <w:r>
              <w:rPr>
                <w:rFonts w:hint="eastAsia"/>
                <w:lang w:val="en-US" w:eastAsia="zh-CN"/>
              </w:rPr>
              <w:t>Cause</w:t>
            </w:r>
          </w:p>
        </w:tc>
        <w:tc>
          <w:tcPr>
            <w:tcW w:w="7694" w:type="dxa"/>
            <w:tcBorders>
              <w:top w:val="single" w:color="7030A0" w:sz="12" w:space="0"/>
              <w:left w:val="nil"/>
              <w:bottom w:val="nil"/>
              <w:right w:val="single" w:color="7030A0" w:sz="12" w:space="0"/>
            </w:tcBorders>
          </w:tcPr>
          <w:p w14:paraId="1C61BBB6">
            <w:pPr>
              <w:rPr>
                <w:rFonts w:hint="eastAsia"/>
                <w:lang w:val="en-US" w:eastAsia="zh-CN"/>
              </w:rPr>
            </w:pPr>
            <w:r>
              <w:rPr>
                <w:rFonts w:hint="eastAsia"/>
                <w:lang w:val="en-US" w:eastAsia="zh-CN"/>
              </w:rPr>
              <w:t>Transfer failure</w:t>
            </w:r>
          </w:p>
        </w:tc>
      </w:tr>
      <w:tr w14:paraId="758D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shd w:val="clear" w:color="auto" w:fill="auto"/>
            <w:vAlign w:val="top"/>
          </w:tcPr>
          <w:p w14:paraId="3AABE261">
            <w:pPr>
              <w:rPr>
                <w:rFonts w:hint="eastAsia"/>
                <w:lang w:val="en-US" w:eastAsia="zh-CN"/>
              </w:rPr>
            </w:pPr>
            <w:r>
              <w:rPr>
                <w:rFonts w:hint="eastAsia"/>
                <w:lang w:val="en-US" w:eastAsia="zh-CN"/>
              </w:rPr>
              <w:t>Solutions</w:t>
            </w:r>
          </w:p>
        </w:tc>
        <w:tc>
          <w:tcPr>
            <w:tcW w:w="7694" w:type="dxa"/>
            <w:tcBorders>
              <w:top w:val="nil"/>
              <w:left w:val="nil"/>
              <w:bottom w:val="single" w:color="7030A0" w:sz="12" w:space="0"/>
              <w:right w:val="single" w:color="7030A0" w:sz="12" w:space="0"/>
            </w:tcBorders>
          </w:tcPr>
          <w:p w14:paraId="4055C55A">
            <w:pPr>
              <w:rPr>
                <w:rFonts w:hint="eastAsia"/>
                <w:lang w:val="en-US" w:eastAsia="zh-CN"/>
              </w:rPr>
            </w:pPr>
            <w:r>
              <w:rPr>
                <w:rFonts w:hint="eastAsia"/>
                <w:lang w:val="en-US" w:eastAsia="zh-CN"/>
              </w:rPr>
              <w:t>Optimize the conditions and transfer again. For proteins with small molecular weight, reduce the transfer time. Use a 0</w:t>
            </w:r>
            <w:r>
              <w:rPr>
                <w:rFonts w:hint="default"/>
                <w:lang w:val="en-US" w:eastAsia="zh-CN"/>
              </w:rPr>
              <w:t>.22</w:t>
            </w:r>
            <w:r>
              <w:rPr>
                <w:rFonts w:hint="eastAsia"/>
                <w:lang w:val="en-US" w:eastAsia="zh-CN"/>
              </w:rPr>
              <w:t xml:space="preserve"> </w:t>
            </w:r>
            <w:r>
              <w:rPr>
                <w:rFonts w:hint="default"/>
                <w:lang w:val="en-US" w:eastAsia="zh-CN"/>
              </w:rPr>
              <w:t xml:space="preserve">μM </w:t>
            </w:r>
            <w:r>
              <w:rPr>
                <w:rFonts w:hint="eastAsia"/>
                <w:lang w:val="en-US" w:eastAsia="zh-CN"/>
              </w:rPr>
              <w:t>membrane. For proteins with large molecular weight, increase the transfer time.</w:t>
            </w:r>
          </w:p>
        </w:tc>
      </w:tr>
      <w:tr w14:paraId="7162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single" w:color="7030A0" w:sz="12" w:space="0"/>
              <w:bottom w:val="nil"/>
              <w:right w:val="nil"/>
            </w:tcBorders>
            <w:shd w:val="clear" w:color="auto" w:fill="auto"/>
            <w:vAlign w:val="top"/>
          </w:tcPr>
          <w:p w14:paraId="7ED37335">
            <w:pPr>
              <w:rPr>
                <w:rFonts w:hint="eastAsia"/>
                <w:lang w:val="en-US" w:eastAsia="zh-CN"/>
              </w:rPr>
            </w:pPr>
            <w:r>
              <w:rPr>
                <w:rFonts w:hint="eastAsia"/>
                <w:lang w:val="en-US" w:eastAsia="zh-CN"/>
              </w:rPr>
              <w:t>Cause</w:t>
            </w:r>
          </w:p>
        </w:tc>
        <w:tc>
          <w:tcPr>
            <w:tcW w:w="7694" w:type="dxa"/>
            <w:tcBorders>
              <w:top w:val="single" w:color="7030A0" w:sz="12" w:space="0"/>
              <w:left w:val="nil"/>
              <w:bottom w:val="nil"/>
              <w:right w:val="single" w:color="7030A0" w:sz="12" w:space="0"/>
            </w:tcBorders>
          </w:tcPr>
          <w:p w14:paraId="73DD0687">
            <w:pPr>
              <w:rPr>
                <w:rFonts w:hint="eastAsia"/>
                <w:lang w:val="en-US" w:eastAsia="zh-CN"/>
              </w:rPr>
            </w:pPr>
            <w:r>
              <w:rPr>
                <w:rFonts w:hint="eastAsia"/>
                <w:lang w:val="en-US" w:eastAsia="zh-CN"/>
              </w:rPr>
              <w:t>Too little target protein</w:t>
            </w:r>
          </w:p>
        </w:tc>
      </w:tr>
      <w:tr w14:paraId="7619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shd w:val="clear" w:color="auto" w:fill="auto"/>
            <w:vAlign w:val="top"/>
          </w:tcPr>
          <w:p w14:paraId="36D60DF1">
            <w:pPr>
              <w:rPr>
                <w:rFonts w:hint="eastAsia"/>
              </w:rPr>
            </w:pPr>
            <w:r>
              <w:rPr>
                <w:rFonts w:hint="eastAsia"/>
              </w:rPr>
              <w:t>Solutions</w:t>
            </w:r>
          </w:p>
        </w:tc>
        <w:tc>
          <w:tcPr>
            <w:tcW w:w="7694" w:type="dxa"/>
            <w:tcBorders>
              <w:top w:val="nil"/>
              <w:left w:val="nil"/>
              <w:bottom w:val="single" w:color="7030A0" w:sz="12" w:space="0"/>
              <w:right w:val="single" w:color="7030A0" w:sz="12" w:space="0"/>
            </w:tcBorders>
          </w:tcPr>
          <w:p w14:paraId="7E072F40">
            <w:pPr>
              <w:numPr>
                <w:ilvl w:val="0"/>
                <w:numId w:val="0"/>
              </w:numPr>
              <w:bidi w:val="0"/>
              <w:rPr>
                <w:rFonts w:hint="eastAsia"/>
                <w:lang w:val="en-US" w:eastAsia="zh-CN"/>
              </w:rPr>
            </w:pPr>
            <w:r>
              <w:rPr>
                <w:rFonts w:hint="eastAsia"/>
              </w:rPr>
              <w:t>Increase sample loading</w:t>
            </w:r>
          </w:p>
        </w:tc>
      </w:tr>
      <w:tr w14:paraId="5B1F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nil"/>
              <w:bottom w:val="single" w:color="7030A0" w:sz="12" w:space="0"/>
              <w:right w:val="nil"/>
            </w:tcBorders>
            <w:shd w:val="clear" w:color="auto" w:fill="auto"/>
            <w:vAlign w:val="top"/>
          </w:tcPr>
          <w:p w14:paraId="62BF42AC">
            <w:pPr>
              <w:rPr>
                <w:rFonts w:hint="eastAsia"/>
              </w:rPr>
            </w:pPr>
            <w:r>
              <w:rPr>
                <w:rFonts w:hint="eastAsia"/>
              </w:rPr>
              <w:t>Questions</w:t>
            </w:r>
          </w:p>
        </w:tc>
        <w:tc>
          <w:tcPr>
            <w:tcW w:w="7694" w:type="dxa"/>
            <w:tcBorders>
              <w:top w:val="single" w:color="7030A0" w:sz="12" w:space="0"/>
              <w:left w:val="nil"/>
              <w:bottom w:val="single" w:color="7030A0" w:sz="12" w:space="0"/>
              <w:right w:val="nil"/>
            </w:tcBorders>
          </w:tcPr>
          <w:p w14:paraId="55D6C5D0">
            <w:pPr>
              <w:numPr>
                <w:ilvl w:val="0"/>
                <w:numId w:val="0"/>
              </w:numPr>
              <w:bidi w:val="0"/>
              <w:rPr>
                <w:rFonts w:hint="eastAsia"/>
              </w:rPr>
            </w:pPr>
            <w:r>
              <w:rPr>
                <w:rFonts w:hint="eastAsia"/>
              </w:rPr>
              <w:t>Background too high</w:t>
            </w:r>
          </w:p>
        </w:tc>
      </w:tr>
      <w:tr w14:paraId="409D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single" w:color="7030A0" w:sz="12" w:space="0"/>
              <w:bottom w:val="nil"/>
              <w:right w:val="nil"/>
            </w:tcBorders>
            <w:shd w:val="clear" w:color="auto" w:fill="auto"/>
            <w:vAlign w:val="top"/>
          </w:tcPr>
          <w:p w14:paraId="5211B491">
            <w:pPr>
              <w:numPr>
                <w:ilvl w:val="0"/>
                <w:numId w:val="0"/>
              </w:numPr>
              <w:bidi w:val="0"/>
              <w:rPr>
                <w:rFonts w:hint="eastAsia"/>
              </w:rPr>
            </w:pPr>
            <w:r>
              <w:rPr>
                <w:rFonts w:hint="eastAsia"/>
                <w:lang w:val="en-US" w:eastAsia="zh-CN"/>
              </w:rPr>
              <w:t>C</w:t>
            </w:r>
            <w:r>
              <w:rPr>
                <w:rFonts w:hint="eastAsia"/>
              </w:rPr>
              <w:t>ause</w:t>
            </w:r>
          </w:p>
        </w:tc>
        <w:tc>
          <w:tcPr>
            <w:tcW w:w="7694" w:type="dxa"/>
            <w:tcBorders>
              <w:top w:val="single" w:color="7030A0" w:sz="12" w:space="0"/>
              <w:left w:val="nil"/>
              <w:bottom w:val="nil"/>
              <w:right w:val="single" w:color="7030A0" w:sz="12" w:space="0"/>
            </w:tcBorders>
          </w:tcPr>
          <w:p w14:paraId="47FB2A4E">
            <w:pPr>
              <w:numPr>
                <w:ilvl w:val="0"/>
                <w:numId w:val="0"/>
              </w:numPr>
              <w:bidi w:val="0"/>
              <w:rPr>
                <w:rFonts w:hint="eastAsia"/>
              </w:rPr>
            </w:pPr>
            <w:r>
              <w:rPr>
                <w:rFonts w:hint="eastAsia"/>
              </w:rPr>
              <w:t>Too much HRP</w:t>
            </w:r>
          </w:p>
        </w:tc>
      </w:tr>
      <w:tr w14:paraId="0C6F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shd w:val="clear" w:color="auto" w:fill="auto"/>
            <w:vAlign w:val="top"/>
          </w:tcPr>
          <w:p w14:paraId="4827671D">
            <w:pPr>
              <w:rPr>
                <w:rFonts w:hint="eastAsia"/>
              </w:rPr>
            </w:pPr>
            <w:r>
              <w:rPr>
                <w:rFonts w:hint="eastAsia"/>
              </w:rPr>
              <w:t>Solutions</w:t>
            </w:r>
          </w:p>
        </w:tc>
        <w:tc>
          <w:tcPr>
            <w:tcW w:w="7694" w:type="dxa"/>
            <w:tcBorders>
              <w:top w:val="nil"/>
              <w:left w:val="nil"/>
              <w:bottom w:val="single" w:color="7030A0" w:sz="12" w:space="0"/>
              <w:right w:val="single" w:color="7030A0" w:sz="12" w:space="0"/>
            </w:tcBorders>
          </w:tcPr>
          <w:p w14:paraId="1F65D985">
            <w:pPr>
              <w:numPr>
                <w:ilvl w:val="0"/>
                <w:numId w:val="0"/>
              </w:numPr>
              <w:bidi w:val="0"/>
              <w:rPr>
                <w:rFonts w:hint="eastAsia"/>
              </w:rPr>
            </w:pPr>
            <w:r>
              <w:rPr>
                <w:rFonts w:hint="eastAsia"/>
              </w:rPr>
              <w:t>Dilute HRP-secondary antibody to appropriate concentration</w:t>
            </w:r>
          </w:p>
        </w:tc>
      </w:tr>
      <w:tr w14:paraId="6BD6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single" w:color="7030A0" w:sz="12" w:space="0"/>
              <w:bottom w:val="nil"/>
              <w:right w:val="nil"/>
            </w:tcBorders>
            <w:shd w:val="clear" w:color="auto" w:fill="auto"/>
            <w:vAlign w:val="top"/>
          </w:tcPr>
          <w:p w14:paraId="1801C171">
            <w:pPr>
              <w:numPr>
                <w:ilvl w:val="0"/>
                <w:numId w:val="0"/>
              </w:numPr>
              <w:bidi w:val="0"/>
              <w:ind w:left="0" w:leftChars="0" w:firstLine="0" w:firstLineChars="0"/>
              <w:rPr>
                <w:rFonts w:hint="eastAsia" w:ascii="Times New Roman" w:hAnsi="Times New Roman" w:eastAsia="微软雅黑" w:cs="Times New Roman"/>
                <w:kern w:val="2"/>
                <w:sz w:val="28"/>
                <w:szCs w:val="24"/>
                <w:lang w:val="en-US" w:eastAsia="zh-CN" w:bidi="ar-SA"/>
              </w:rPr>
            </w:pPr>
            <w:r>
              <w:rPr>
                <w:rFonts w:hint="eastAsia"/>
                <w:lang w:val="en-US" w:eastAsia="zh-CN"/>
              </w:rPr>
              <w:t>C</w:t>
            </w:r>
            <w:r>
              <w:rPr>
                <w:rFonts w:hint="eastAsia"/>
              </w:rPr>
              <w:t>ause</w:t>
            </w:r>
          </w:p>
        </w:tc>
        <w:tc>
          <w:tcPr>
            <w:tcW w:w="7694" w:type="dxa"/>
            <w:tcBorders>
              <w:top w:val="single" w:color="7030A0" w:sz="12" w:space="0"/>
              <w:left w:val="nil"/>
              <w:bottom w:val="nil"/>
              <w:right w:val="single" w:color="7030A0" w:sz="12" w:space="0"/>
            </w:tcBorders>
          </w:tcPr>
          <w:p w14:paraId="3B4738C2">
            <w:pPr>
              <w:numPr>
                <w:ilvl w:val="0"/>
                <w:numId w:val="0"/>
              </w:numPr>
              <w:bidi w:val="0"/>
              <w:rPr>
                <w:rFonts w:hint="eastAsia"/>
              </w:rPr>
            </w:pPr>
            <w:r>
              <w:rPr>
                <w:rFonts w:hint="eastAsia"/>
              </w:rPr>
              <w:t>Blocking is not thorough</w:t>
            </w:r>
          </w:p>
        </w:tc>
      </w:tr>
      <w:tr w14:paraId="3CC3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shd w:val="clear" w:color="auto" w:fill="auto"/>
            <w:vAlign w:val="top"/>
          </w:tcPr>
          <w:p w14:paraId="4A0FC549">
            <w:pPr>
              <w:rPr>
                <w:rFonts w:hint="eastAsia" w:ascii="Times New Roman" w:hAnsi="Times New Roman" w:eastAsia="微软雅黑" w:cs="Times New Roman"/>
                <w:kern w:val="2"/>
                <w:sz w:val="28"/>
                <w:szCs w:val="24"/>
                <w:lang w:val="en-US" w:eastAsia="zh-CN" w:bidi="ar-SA"/>
              </w:rPr>
            </w:pPr>
            <w:r>
              <w:rPr>
                <w:rFonts w:hint="eastAsia"/>
              </w:rPr>
              <w:t>Solutions</w:t>
            </w:r>
          </w:p>
        </w:tc>
        <w:tc>
          <w:tcPr>
            <w:tcW w:w="7694" w:type="dxa"/>
            <w:tcBorders>
              <w:top w:val="nil"/>
              <w:left w:val="nil"/>
              <w:bottom w:val="single" w:color="7030A0" w:sz="12" w:space="0"/>
              <w:right w:val="single" w:color="7030A0" w:sz="12" w:space="0"/>
            </w:tcBorders>
          </w:tcPr>
          <w:p w14:paraId="7862A7BA">
            <w:pPr>
              <w:numPr>
                <w:ilvl w:val="0"/>
                <w:numId w:val="0"/>
              </w:numPr>
              <w:bidi w:val="0"/>
              <w:rPr>
                <w:rFonts w:hint="eastAsia"/>
              </w:rPr>
            </w:pPr>
            <w:r>
              <w:rPr>
                <w:rFonts w:hint="eastAsia"/>
              </w:rPr>
              <w:t>Replace the blocking solution and increase the blocking time</w:t>
            </w:r>
          </w:p>
        </w:tc>
      </w:tr>
      <w:tr w14:paraId="352C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single" w:color="7030A0" w:sz="12" w:space="0"/>
              <w:bottom w:val="nil"/>
              <w:right w:val="nil"/>
            </w:tcBorders>
            <w:shd w:val="clear" w:color="auto" w:fill="auto"/>
            <w:vAlign w:val="top"/>
          </w:tcPr>
          <w:p w14:paraId="6E8E91D0">
            <w:pPr>
              <w:numPr>
                <w:ilvl w:val="0"/>
                <w:numId w:val="0"/>
              </w:numPr>
              <w:bidi w:val="0"/>
              <w:ind w:left="0" w:leftChars="0" w:firstLine="0" w:firstLineChars="0"/>
              <w:rPr>
                <w:rFonts w:hint="eastAsia" w:ascii="Times New Roman" w:hAnsi="Times New Roman" w:eastAsia="微软雅黑" w:cs="Times New Roman"/>
                <w:kern w:val="2"/>
                <w:sz w:val="28"/>
                <w:szCs w:val="24"/>
                <w:lang w:val="en-US" w:eastAsia="zh-CN" w:bidi="ar-SA"/>
              </w:rPr>
            </w:pPr>
            <w:r>
              <w:rPr>
                <w:rFonts w:hint="eastAsia"/>
                <w:lang w:val="en-US" w:eastAsia="zh-CN"/>
              </w:rPr>
              <w:t>C</w:t>
            </w:r>
            <w:r>
              <w:rPr>
                <w:rFonts w:hint="eastAsia"/>
              </w:rPr>
              <w:t>ause</w:t>
            </w:r>
          </w:p>
        </w:tc>
        <w:tc>
          <w:tcPr>
            <w:tcW w:w="7694" w:type="dxa"/>
            <w:tcBorders>
              <w:top w:val="single" w:color="7030A0" w:sz="12" w:space="0"/>
              <w:left w:val="nil"/>
              <w:bottom w:val="nil"/>
              <w:right w:val="single" w:color="7030A0" w:sz="12" w:space="0"/>
            </w:tcBorders>
          </w:tcPr>
          <w:p w14:paraId="25826957">
            <w:pPr>
              <w:numPr>
                <w:ilvl w:val="0"/>
                <w:numId w:val="0"/>
              </w:numPr>
              <w:bidi w:val="0"/>
              <w:rPr>
                <w:rFonts w:hint="eastAsia"/>
              </w:rPr>
            </w:pPr>
            <w:r>
              <w:rPr>
                <w:rFonts w:hint="eastAsia"/>
              </w:rPr>
              <w:t>Incomplete membrane washing</w:t>
            </w:r>
          </w:p>
        </w:tc>
      </w:tr>
      <w:tr w14:paraId="5171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shd w:val="clear" w:color="auto" w:fill="auto"/>
            <w:vAlign w:val="top"/>
          </w:tcPr>
          <w:p w14:paraId="39D2C42F">
            <w:pPr>
              <w:rPr>
                <w:rFonts w:hint="eastAsia" w:ascii="Times New Roman" w:hAnsi="Times New Roman" w:eastAsia="微软雅黑" w:cs="Times New Roman"/>
                <w:kern w:val="2"/>
                <w:sz w:val="28"/>
                <w:szCs w:val="24"/>
                <w:lang w:val="en-US" w:eastAsia="zh-CN" w:bidi="ar-SA"/>
              </w:rPr>
            </w:pPr>
            <w:r>
              <w:rPr>
                <w:rFonts w:hint="eastAsia"/>
              </w:rPr>
              <w:t>Solutions</w:t>
            </w:r>
          </w:p>
        </w:tc>
        <w:tc>
          <w:tcPr>
            <w:tcW w:w="7694" w:type="dxa"/>
            <w:tcBorders>
              <w:top w:val="nil"/>
              <w:left w:val="nil"/>
              <w:bottom w:val="single" w:color="7030A0" w:sz="12" w:space="0"/>
              <w:right w:val="single" w:color="7030A0" w:sz="12" w:space="0"/>
            </w:tcBorders>
          </w:tcPr>
          <w:p w14:paraId="6E4389C6">
            <w:pPr>
              <w:numPr>
                <w:ilvl w:val="0"/>
                <w:numId w:val="0"/>
              </w:numPr>
              <w:bidi w:val="0"/>
              <w:rPr>
                <w:rFonts w:hint="eastAsia"/>
              </w:rPr>
            </w:pPr>
            <w:r>
              <w:rPr>
                <w:rFonts w:hint="eastAsia"/>
              </w:rPr>
              <w:t>Increase the number of membrane washing times, time, and amount of washing solution</w:t>
            </w:r>
          </w:p>
        </w:tc>
      </w:tr>
      <w:tr w14:paraId="5388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single" w:color="7030A0" w:sz="12" w:space="0"/>
              <w:bottom w:val="nil"/>
              <w:right w:val="nil"/>
            </w:tcBorders>
            <w:shd w:val="clear" w:color="auto" w:fill="auto"/>
            <w:vAlign w:val="top"/>
          </w:tcPr>
          <w:p w14:paraId="315760C2">
            <w:pPr>
              <w:rPr>
                <w:rFonts w:hint="eastAsia" w:ascii="Times New Roman" w:hAnsi="Times New Roman" w:eastAsia="微软雅黑" w:cs="Times New Roman"/>
                <w:kern w:val="2"/>
                <w:sz w:val="28"/>
                <w:szCs w:val="24"/>
                <w:lang w:val="en-US" w:eastAsia="zh-CN" w:bidi="ar-SA"/>
              </w:rPr>
            </w:pPr>
            <w:r>
              <w:rPr>
                <w:rFonts w:hint="eastAsia"/>
                <w:lang w:val="en-US" w:eastAsia="zh-CN"/>
              </w:rPr>
              <w:drawing>
                <wp:anchor distT="0" distB="0" distL="114300" distR="114300" simplePos="0" relativeHeight="251667456" behindDoc="1" locked="0" layoutInCell="1" allowOverlap="1">
                  <wp:simplePos x="0" y="0"/>
                  <wp:positionH relativeFrom="column">
                    <wp:posOffset>-1151255</wp:posOffset>
                  </wp:positionH>
                  <wp:positionV relativeFrom="paragraph">
                    <wp:posOffset>-929005</wp:posOffset>
                  </wp:positionV>
                  <wp:extent cx="7578090" cy="10703560"/>
                  <wp:effectExtent l="0" t="0" r="11430" b="10160"/>
                  <wp:wrapNone/>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r>
              <w:rPr>
                <w:rFonts w:hint="eastAsia"/>
                <w:lang w:val="en-US" w:eastAsia="zh-CN"/>
              </w:rPr>
              <w:t>C</w:t>
            </w:r>
            <w:r>
              <w:rPr>
                <w:rFonts w:hint="eastAsia"/>
              </w:rPr>
              <w:t>ause</w:t>
            </w:r>
          </w:p>
        </w:tc>
        <w:tc>
          <w:tcPr>
            <w:tcW w:w="7694" w:type="dxa"/>
            <w:tcBorders>
              <w:top w:val="single" w:color="7030A0" w:sz="12" w:space="0"/>
              <w:left w:val="nil"/>
              <w:bottom w:val="nil"/>
              <w:right w:val="single" w:color="7030A0" w:sz="12" w:space="0"/>
            </w:tcBorders>
          </w:tcPr>
          <w:p w14:paraId="006229E6">
            <w:pPr>
              <w:numPr>
                <w:ilvl w:val="0"/>
                <w:numId w:val="0"/>
              </w:numPr>
              <w:bidi w:val="0"/>
              <w:rPr>
                <w:rFonts w:hint="eastAsia"/>
              </w:rPr>
            </w:pPr>
            <w:r>
              <w:rPr>
                <w:rFonts w:hint="eastAsia"/>
              </w:rPr>
              <w:t>Too many antigens</w:t>
            </w:r>
          </w:p>
        </w:tc>
      </w:tr>
      <w:tr w14:paraId="0BD8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395" w:type="dxa"/>
            <w:tcBorders>
              <w:top w:val="nil"/>
              <w:left w:val="single" w:color="7030A0" w:sz="12" w:space="0"/>
              <w:bottom w:val="single" w:color="7030A0" w:sz="12" w:space="0"/>
              <w:right w:val="nil"/>
            </w:tcBorders>
            <w:shd w:val="clear" w:color="auto" w:fill="auto"/>
            <w:vAlign w:val="top"/>
          </w:tcPr>
          <w:p w14:paraId="32F854F9">
            <w:pPr>
              <w:numPr>
                <w:ilvl w:val="0"/>
                <w:numId w:val="0"/>
              </w:numPr>
              <w:bidi w:val="0"/>
              <w:ind w:left="0" w:leftChars="0" w:firstLine="0" w:firstLineChars="0"/>
              <w:rPr>
                <w:rFonts w:hint="eastAsia"/>
                <w:lang w:val="en-US" w:eastAsia="zh-CN"/>
              </w:rPr>
            </w:pPr>
            <w:r>
              <w:rPr>
                <w:rFonts w:hint="eastAsia"/>
              </w:rPr>
              <w:t>Solutions</w:t>
            </w:r>
          </w:p>
        </w:tc>
        <w:tc>
          <w:tcPr>
            <w:tcW w:w="7694" w:type="dxa"/>
            <w:tcBorders>
              <w:top w:val="nil"/>
              <w:left w:val="nil"/>
              <w:bottom w:val="single" w:color="7030A0" w:sz="12" w:space="0"/>
              <w:right w:val="single" w:color="7030A0" w:sz="12" w:space="0"/>
            </w:tcBorders>
            <w:shd w:val="clear" w:color="auto" w:fill="auto"/>
            <w:vAlign w:val="top"/>
          </w:tcPr>
          <w:p w14:paraId="22BD79A2">
            <w:pPr>
              <w:numPr>
                <w:ilvl w:val="0"/>
                <w:numId w:val="0"/>
              </w:numPr>
              <w:bidi w:val="0"/>
              <w:ind w:left="0" w:leftChars="0" w:firstLine="0" w:firstLineChars="0"/>
              <w:rPr>
                <w:rFonts w:hint="eastAsia" w:ascii="Times New Roman" w:hAnsi="Times New Roman" w:eastAsia="微软雅黑" w:cs="Times New Roman"/>
                <w:kern w:val="2"/>
                <w:sz w:val="28"/>
                <w:szCs w:val="24"/>
                <w:lang w:val="en-US" w:eastAsia="zh-CN" w:bidi="ar-SA"/>
              </w:rPr>
            </w:pPr>
            <w:r>
              <w:rPr>
                <w:rFonts w:hint="eastAsia"/>
              </w:rPr>
              <w:t>Reduce the amount of SDS-PAGE sample</w:t>
            </w:r>
          </w:p>
        </w:tc>
      </w:tr>
      <w:tr w14:paraId="1945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single" w:color="7030A0" w:sz="12" w:space="0"/>
              <w:bottom w:val="nil"/>
              <w:right w:val="nil"/>
            </w:tcBorders>
            <w:shd w:val="clear" w:color="auto" w:fill="auto"/>
            <w:vAlign w:val="top"/>
          </w:tcPr>
          <w:p w14:paraId="2ECAA005">
            <w:pPr>
              <w:numPr>
                <w:ilvl w:val="0"/>
                <w:numId w:val="0"/>
              </w:numPr>
              <w:bidi w:val="0"/>
              <w:ind w:left="0" w:leftChars="0" w:firstLine="0" w:firstLineChars="0"/>
              <w:rPr>
                <w:rFonts w:hint="eastAsia" w:ascii="Times New Roman" w:hAnsi="Times New Roman" w:eastAsia="微软雅黑" w:cs="Times New Roman"/>
                <w:kern w:val="2"/>
                <w:sz w:val="28"/>
                <w:szCs w:val="24"/>
                <w:lang w:val="en-US" w:eastAsia="zh-CN" w:bidi="ar-SA"/>
              </w:rPr>
            </w:pPr>
            <w:r>
              <w:rPr>
                <w:rFonts w:hint="eastAsia"/>
                <w:lang w:val="en-US" w:eastAsia="zh-CN"/>
              </w:rPr>
              <w:t>C</w:t>
            </w:r>
            <w:r>
              <w:rPr>
                <w:rFonts w:hint="eastAsia"/>
              </w:rPr>
              <w:t>ause</w:t>
            </w:r>
          </w:p>
        </w:tc>
        <w:tc>
          <w:tcPr>
            <w:tcW w:w="7694" w:type="dxa"/>
            <w:tcBorders>
              <w:top w:val="single" w:color="7030A0" w:sz="12" w:space="0"/>
              <w:left w:val="nil"/>
              <w:bottom w:val="nil"/>
              <w:right w:val="single" w:color="7030A0" w:sz="12" w:space="0"/>
            </w:tcBorders>
          </w:tcPr>
          <w:p w14:paraId="1840C42C">
            <w:pPr>
              <w:numPr>
                <w:ilvl w:val="0"/>
                <w:numId w:val="0"/>
              </w:numPr>
              <w:bidi w:val="0"/>
              <w:ind w:left="0" w:leftChars="0" w:firstLine="0" w:firstLineChars="0"/>
              <w:rPr>
                <w:rFonts w:hint="eastAsia"/>
              </w:rPr>
            </w:pPr>
            <w:r>
              <w:rPr>
                <w:rFonts w:hint="eastAsia"/>
              </w:rPr>
              <w:t>Too much primary antibody was used</w:t>
            </w:r>
          </w:p>
        </w:tc>
      </w:tr>
      <w:tr w14:paraId="0925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shd w:val="clear" w:color="auto" w:fill="auto"/>
            <w:vAlign w:val="top"/>
          </w:tcPr>
          <w:p w14:paraId="6DD2AB0A">
            <w:pPr>
              <w:rPr>
                <w:rFonts w:hint="eastAsia" w:ascii="Times New Roman" w:hAnsi="Times New Roman" w:eastAsia="微软雅黑" w:cs="Times New Roman"/>
                <w:kern w:val="2"/>
                <w:sz w:val="28"/>
                <w:szCs w:val="24"/>
                <w:lang w:val="en-US" w:eastAsia="zh-CN" w:bidi="ar-SA"/>
              </w:rPr>
            </w:pPr>
            <w:r>
              <w:rPr>
                <w:rFonts w:hint="eastAsia"/>
              </w:rPr>
              <w:t>Solutions</w:t>
            </w:r>
          </w:p>
        </w:tc>
        <w:tc>
          <w:tcPr>
            <w:tcW w:w="7694" w:type="dxa"/>
            <w:tcBorders>
              <w:top w:val="nil"/>
              <w:left w:val="nil"/>
              <w:bottom w:val="single" w:color="7030A0" w:sz="12" w:space="0"/>
              <w:right w:val="single" w:color="7030A0" w:sz="12" w:space="0"/>
            </w:tcBorders>
          </w:tcPr>
          <w:p w14:paraId="69E9794E">
            <w:pPr>
              <w:numPr>
                <w:ilvl w:val="0"/>
                <w:numId w:val="0"/>
              </w:numPr>
              <w:bidi w:val="0"/>
              <w:ind w:left="0" w:leftChars="0" w:firstLine="0" w:firstLineChars="0"/>
              <w:rPr>
                <w:rFonts w:hint="eastAsia"/>
              </w:rPr>
            </w:pPr>
            <w:r>
              <w:rPr>
                <w:rFonts w:hint="eastAsia"/>
              </w:rPr>
              <w:t>Dilute the primary antibody to an appropriate concentration</w:t>
            </w:r>
          </w:p>
        </w:tc>
      </w:tr>
      <w:tr w14:paraId="29B6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single" w:color="7030A0" w:sz="12" w:space="0"/>
              <w:bottom w:val="nil"/>
              <w:right w:val="nil"/>
            </w:tcBorders>
            <w:shd w:val="clear" w:color="auto" w:fill="auto"/>
            <w:vAlign w:val="top"/>
          </w:tcPr>
          <w:p w14:paraId="655A02D8">
            <w:pPr>
              <w:numPr>
                <w:ilvl w:val="0"/>
                <w:numId w:val="0"/>
              </w:numPr>
              <w:bidi w:val="0"/>
              <w:ind w:left="0" w:leftChars="0" w:firstLine="0" w:firstLineChars="0"/>
              <w:rPr>
                <w:rFonts w:hint="eastAsia" w:ascii="Times New Roman" w:hAnsi="Times New Roman" w:eastAsia="微软雅黑" w:cs="Times New Roman"/>
                <w:kern w:val="2"/>
                <w:sz w:val="28"/>
                <w:szCs w:val="24"/>
                <w:lang w:val="en-US" w:eastAsia="zh-CN" w:bidi="ar-SA"/>
              </w:rPr>
            </w:pPr>
            <w:r>
              <w:rPr>
                <w:rFonts w:hint="eastAsia"/>
                <w:lang w:val="en-US" w:eastAsia="zh-CN"/>
              </w:rPr>
              <w:t>C</w:t>
            </w:r>
            <w:r>
              <w:rPr>
                <w:rFonts w:hint="eastAsia"/>
              </w:rPr>
              <w:t>ause</w:t>
            </w:r>
          </w:p>
        </w:tc>
        <w:tc>
          <w:tcPr>
            <w:tcW w:w="7694" w:type="dxa"/>
            <w:tcBorders>
              <w:top w:val="single" w:color="7030A0" w:sz="12" w:space="0"/>
              <w:left w:val="nil"/>
              <w:bottom w:val="nil"/>
              <w:right w:val="single" w:color="7030A0" w:sz="12" w:space="0"/>
            </w:tcBorders>
          </w:tcPr>
          <w:p w14:paraId="7C380AB5">
            <w:pPr>
              <w:numPr>
                <w:ilvl w:val="0"/>
                <w:numId w:val="0"/>
              </w:numPr>
              <w:bidi w:val="0"/>
              <w:ind w:left="0" w:leftChars="0" w:firstLine="0" w:firstLineChars="0"/>
              <w:rPr>
                <w:rFonts w:hint="eastAsia"/>
              </w:rPr>
            </w:pPr>
            <w:r>
              <w:rPr>
                <w:rFonts w:hint="eastAsia"/>
              </w:rPr>
              <w:t>Primary antibody specificity is too low</w:t>
            </w:r>
          </w:p>
        </w:tc>
      </w:tr>
      <w:tr w14:paraId="76B9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shd w:val="clear" w:color="auto" w:fill="auto"/>
            <w:vAlign w:val="top"/>
          </w:tcPr>
          <w:p w14:paraId="243EE041">
            <w:pPr>
              <w:rPr>
                <w:rFonts w:hint="eastAsia" w:ascii="Times New Roman" w:hAnsi="Times New Roman" w:eastAsia="微软雅黑" w:cs="Times New Roman"/>
                <w:kern w:val="2"/>
                <w:sz w:val="28"/>
                <w:szCs w:val="24"/>
                <w:lang w:val="en-US" w:eastAsia="zh-CN" w:bidi="ar-SA"/>
              </w:rPr>
            </w:pPr>
            <w:r>
              <w:rPr>
                <w:rFonts w:hint="eastAsia"/>
              </w:rPr>
              <w:t>Solutions</w:t>
            </w:r>
          </w:p>
        </w:tc>
        <w:tc>
          <w:tcPr>
            <w:tcW w:w="7694" w:type="dxa"/>
            <w:tcBorders>
              <w:top w:val="nil"/>
              <w:left w:val="nil"/>
              <w:bottom w:val="single" w:color="7030A0" w:sz="12" w:space="0"/>
              <w:right w:val="single" w:color="7030A0" w:sz="12" w:space="0"/>
            </w:tcBorders>
          </w:tcPr>
          <w:p w14:paraId="2C90C581">
            <w:pPr>
              <w:numPr>
                <w:ilvl w:val="0"/>
                <w:numId w:val="0"/>
              </w:numPr>
              <w:bidi w:val="0"/>
              <w:ind w:left="0" w:leftChars="0" w:firstLine="0" w:firstLineChars="0"/>
              <w:rPr>
                <w:rFonts w:hint="eastAsia"/>
              </w:rPr>
            </w:pPr>
            <w:r>
              <w:rPr>
                <w:rFonts w:hint="eastAsia"/>
              </w:rPr>
              <w:t>Change antibody</w:t>
            </w:r>
          </w:p>
        </w:tc>
      </w:tr>
      <w:tr w14:paraId="5B70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nil"/>
              <w:bottom w:val="single" w:color="7030A0" w:sz="12" w:space="0"/>
              <w:right w:val="nil"/>
            </w:tcBorders>
            <w:shd w:val="clear" w:color="auto" w:fill="auto"/>
            <w:vAlign w:val="top"/>
          </w:tcPr>
          <w:p w14:paraId="7837F25D">
            <w:pPr>
              <w:numPr>
                <w:ilvl w:val="0"/>
                <w:numId w:val="0"/>
              </w:numPr>
              <w:bidi w:val="0"/>
              <w:ind w:left="0" w:leftChars="0" w:firstLine="0" w:firstLineChars="0"/>
              <w:rPr>
                <w:rFonts w:hint="eastAsia"/>
                <w:lang w:val="en-US" w:eastAsia="zh-CN"/>
              </w:rPr>
            </w:pPr>
            <w:r>
              <w:rPr>
                <w:rFonts w:hint="eastAsia"/>
              </w:rPr>
              <w:t>Questions</w:t>
            </w:r>
          </w:p>
        </w:tc>
        <w:tc>
          <w:tcPr>
            <w:tcW w:w="7694" w:type="dxa"/>
            <w:tcBorders>
              <w:top w:val="single" w:color="7030A0" w:sz="12" w:space="0"/>
              <w:left w:val="nil"/>
              <w:bottom w:val="single" w:color="7030A0" w:sz="12" w:space="0"/>
              <w:right w:val="nil"/>
            </w:tcBorders>
          </w:tcPr>
          <w:p w14:paraId="35A59F8E">
            <w:pPr>
              <w:numPr>
                <w:ilvl w:val="0"/>
                <w:numId w:val="0"/>
              </w:numPr>
              <w:bidi w:val="0"/>
              <w:ind w:left="0" w:leftChars="0" w:firstLine="0" w:firstLineChars="0"/>
              <w:rPr>
                <w:rFonts w:hint="eastAsia"/>
              </w:rPr>
            </w:pPr>
            <w:r>
              <w:rPr>
                <w:rFonts w:hint="eastAsia"/>
              </w:rPr>
              <w:t>Stripes with spots</w:t>
            </w:r>
          </w:p>
        </w:tc>
      </w:tr>
      <w:tr w14:paraId="5B8F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single" w:color="7030A0" w:sz="12" w:space="0"/>
              <w:bottom w:val="nil"/>
              <w:right w:val="nil"/>
            </w:tcBorders>
            <w:shd w:val="clear" w:color="auto" w:fill="auto"/>
            <w:vAlign w:val="top"/>
          </w:tcPr>
          <w:p w14:paraId="72354B81">
            <w:pPr>
              <w:numPr>
                <w:ilvl w:val="0"/>
                <w:numId w:val="0"/>
              </w:numPr>
              <w:bidi w:val="0"/>
              <w:ind w:left="0" w:leftChars="0" w:firstLine="0" w:firstLineChars="0"/>
              <w:rPr>
                <w:rFonts w:hint="eastAsia" w:ascii="Times New Roman" w:hAnsi="Times New Roman" w:eastAsia="微软雅黑" w:cs="Times New Roman"/>
                <w:kern w:val="2"/>
                <w:sz w:val="28"/>
                <w:szCs w:val="24"/>
                <w:lang w:val="en-US" w:eastAsia="zh-CN" w:bidi="ar-SA"/>
              </w:rPr>
            </w:pPr>
            <w:r>
              <w:rPr>
                <w:rFonts w:hint="eastAsia"/>
                <w:lang w:val="en-US" w:eastAsia="zh-CN"/>
              </w:rPr>
              <w:t>C</w:t>
            </w:r>
            <w:r>
              <w:rPr>
                <w:rFonts w:hint="eastAsia"/>
              </w:rPr>
              <w:t>ause</w:t>
            </w:r>
          </w:p>
        </w:tc>
        <w:tc>
          <w:tcPr>
            <w:tcW w:w="7694" w:type="dxa"/>
            <w:tcBorders>
              <w:top w:val="single" w:color="7030A0" w:sz="12" w:space="0"/>
              <w:left w:val="nil"/>
              <w:bottom w:val="nil"/>
              <w:right w:val="single" w:color="7030A0" w:sz="12" w:space="0"/>
            </w:tcBorders>
          </w:tcPr>
          <w:p w14:paraId="5B4F77FF">
            <w:pPr>
              <w:numPr>
                <w:ilvl w:val="0"/>
                <w:numId w:val="0"/>
              </w:numPr>
              <w:bidi w:val="0"/>
              <w:ind w:left="0" w:leftChars="0" w:firstLine="0" w:firstLineChars="0"/>
              <w:rPr>
                <w:rFonts w:hint="eastAsia"/>
              </w:rPr>
            </w:pPr>
            <w:r>
              <w:rPr>
                <w:rFonts w:hint="eastAsia"/>
              </w:rPr>
              <w:t>Incomplete transfer</w:t>
            </w:r>
          </w:p>
        </w:tc>
      </w:tr>
      <w:tr w14:paraId="4CDC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shd w:val="clear" w:color="auto" w:fill="auto"/>
            <w:vAlign w:val="top"/>
          </w:tcPr>
          <w:p w14:paraId="06C84E42">
            <w:pPr>
              <w:rPr>
                <w:rFonts w:hint="eastAsia" w:ascii="Times New Roman" w:hAnsi="Times New Roman" w:eastAsia="微软雅黑" w:cs="Times New Roman"/>
                <w:kern w:val="2"/>
                <w:sz w:val="28"/>
                <w:szCs w:val="24"/>
                <w:lang w:val="en-US" w:eastAsia="zh-CN" w:bidi="ar-SA"/>
              </w:rPr>
            </w:pPr>
            <w:r>
              <w:rPr>
                <w:rFonts w:hint="eastAsia"/>
              </w:rPr>
              <w:t>Solutions</w:t>
            </w:r>
          </w:p>
        </w:tc>
        <w:tc>
          <w:tcPr>
            <w:tcW w:w="7694" w:type="dxa"/>
            <w:tcBorders>
              <w:top w:val="nil"/>
              <w:left w:val="nil"/>
              <w:bottom w:val="single" w:color="7030A0" w:sz="12" w:space="0"/>
              <w:right w:val="single" w:color="7030A0" w:sz="12" w:space="0"/>
            </w:tcBorders>
          </w:tcPr>
          <w:p w14:paraId="15F4087F">
            <w:pPr>
              <w:numPr>
                <w:ilvl w:val="0"/>
                <w:numId w:val="0"/>
              </w:numPr>
              <w:bidi w:val="0"/>
              <w:ind w:left="0" w:leftChars="0" w:firstLine="0" w:firstLineChars="0"/>
              <w:rPr>
                <w:rFonts w:hint="eastAsia"/>
              </w:rPr>
            </w:pPr>
            <w:r>
              <w:rPr>
                <w:rFonts w:hint="eastAsia"/>
              </w:rPr>
              <w:t>Optimize the conditions and transfer again</w:t>
            </w:r>
          </w:p>
        </w:tc>
      </w:tr>
      <w:tr w14:paraId="7CDE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single" w:color="7030A0" w:sz="12" w:space="0"/>
              <w:bottom w:val="nil"/>
              <w:right w:val="nil"/>
            </w:tcBorders>
            <w:shd w:val="clear" w:color="auto" w:fill="auto"/>
            <w:vAlign w:val="top"/>
          </w:tcPr>
          <w:p w14:paraId="7CF65227">
            <w:pPr>
              <w:numPr>
                <w:ilvl w:val="0"/>
                <w:numId w:val="0"/>
              </w:numPr>
              <w:bidi w:val="0"/>
              <w:ind w:left="0" w:leftChars="0" w:firstLine="0" w:firstLineChars="0"/>
              <w:rPr>
                <w:rFonts w:hint="eastAsia"/>
                <w:lang w:val="en-US" w:eastAsia="zh-CN"/>
              </w:rPr>
            </w:pPr>
            <w:r>
              <w:rPr>
                <w:rFonts w:hint="eastAsia"/>
                <w:lang w:val="en-US" w:eastAsia="zh-CN"/>
              </w:rPr>
              <w:t>C</w:t>
            </w:r>
            <w:r>
              <w:rPr>
                <w:rFonts w:hint="eastAsia"/>
              </w:rPr>
              <w:t>ause</w:t>
            </w:r>
          </w:p>
        </w:tc>
        <w:tc>
          <w:tcPr>
            <w:tcW w:w="7694" w:type="dxa"/>
            <w:tcBorders>
              <w:top w:val="single" w:color="7030A0" w:sz="12" w:space="0"/>
              <w:left w:val="nil"/>
              <w:bottom w:val="nil"/>
              <w:right w:val="single" w:color="7030A0" w:sz="12" w:space="0"/>
            </w:tcBorders>
          </w:tcPr>
          <w:p w14:paraId="45FDFE5A">
            <w:pPr>
              <w:numPr>
                <w:ilvl w:val="0"/>
                <w:numId w:val="0"/>
              </w:numPr>
              <w:bidi w:val="0"/>
              <w:ind w:left="0" w:leftChars="0" w:firstLine="0" w:firstLineChars="0"/>
              <w:rPr>
                <w:rFonts w:hint="eastAsia"/>
              </w:rPr>
            </w:pPr>
            <w:r>
              <w:rPr>
                <w:rFonts w:hint="eastAsia"/>
              </w:rPr>
              <w:t>PVDF membrane is not fully wetted</w:t>
            </w:r>
          </w:p>
        </w:tc>
      </w:tr>
      <w:tr w14:paraId="282B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shd w:val="clear" w:color="auto" w:fill="auto"/>
            <w:vAlign w:val="top"/>
          </w:tcPr>
          <w:p w14:paraId="57243551">
            <w:pPr>
              <w:numPr>
                <w:ilvl w:val="0"/>
                <w:numId w:val="0"/>
              </w:numPr>
              <w:bidi w:val="0"/>
              <w:ind w:left="0" w:leftChars="0" w:firstLine="0" w:firstLineChars="0"/>
              <w:rPr>
                <w:rFonts w:hint="eastAsia"/>
                <w:lang w:val="en-US" w:eastAsia="zh-CN"/>
              </w:rPr>
            </w:pPr>
            <w:r>
              <w:rPr>
                <w:rFonts w:hint="eastAsia"/>
              </w:rPr>
              <w:t>Solutions</w:t>
            </w:r>
          </w:p>
        </w:tc>
        <w:tc>
          <w:tcPr>
            <w:tcW w:w="7694" w:type="dxa"/>
            <w:tcBorders>
              <w:top w:val="nil"/>
              <w:left w:val="nil"/>
              <w:bottom w:val="single" w:color="7030A0" w:sz="12" w:space="0"/>
              <w:right w:val="single" w:color="7030A0" w:sz="12" w:space="0"/>
            </w:tcBorders>
          </w:tcPr>
          <w:p w14:paraId="783BD144">
            <w:pPr>
              <w:numPr>
                <w:ilvl w:val="0"/>
                <w:numId w:val="0"/>
              </w:numPr>
              <w:bidi w:val="0"/>
              <w:ind w:left="0" w:leftChars="0" w:firstLine="0" w:firstLineChars="0"/>
              <w:rPr>
                <w:rFonts w:hint="eastAsia"/>
              </w:rPr>
            </w:pPr>
            <w:r>
              <w:rPr>
                <w:rFonts w:hint="eastAsia"/>
              </w:rPr>
              <w:t>The PVDF membrane was first fully moistened with methanol and then hydrated.</w:t>
            </w:r>
          </w:p>
        </w:tc>
      </w:tr>
      <w:tr w14:paraId="0807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single" w:color="7030A0" w:sz="12" w:space="0"/>
              <w:bottom w:val="nil"/>
              <w:right w:val="nil"/>
            </w:tcBorders>
            <w:shd w:val="clear" w:color="auto" w:fill="auto"/>
            <w:vAlign w:val="top"/>
          </w:tcPr>
          <w:p w14:paraId="616FC6DB">
            <w:pPr>
              <w:numPr>
                <w:ilvl w:val="0"/>
                <w:numId w:val="0"/>
              </w:numPr>
              <w:bidi w:val="0"/>
              <w:ind w:left="0" w:leftChars="0" w:firstLine="0" w:firstLineChars="0"/>
              <w:rPr>
                <w:rFonts w:hint="eastAsia" w:ascii="Times New Roman" w:hAnsi="Times New Roman" w:eastAsia="微软雅黑" w:cs="Times New Roman"/>
                <w:kern w:val="2"/>
                <w:sz w:val="28"/>
                <w:szCs w:val="24"/>
                <w:lang w:val="en-US" w:eastAsia="zh-CN" w:bidi="ar-SA"/>
              </w:rPr>
            </w:pPr>
            <w:r>
              <w:rPr>
                <w:rFonts w:hint="eastAsia"/>
                <w:lang w:val="en-US" w:eastAsia="zh-CN"/>
              </w:rPr>
              <w:t>C</w:t>
            </w:r>
            <w:r>
              <w:rPr>
                <w:rFonts w:hint="eastAsia"/>
              </w:rPr>
              <w:t>ause</w:t>
            </w:r>
          </w:p>
        </w:tc>
        <w:tc>
          <w:tcPr>
            <w:tcW w:w="7694" w:type="dxa"/>
            <w:tcBorders>
              <w:top w:val="single" w:color="7030A0" w:sz="12" w:space="0"/>
              <w:left w:val="nil"/>
              <w:bottom w:val="nil"/>
              <w:right w:val="single" w:color="7030A0" w:sz="12" w:space="0"/>
            </w:tcBorders>
          </w:tcPr>
          <w:p w14:paraId="3ED15EB4">
            <w:pPr>
              <w:numPr>
                <w:ilvl w:val="0"/>
                <w:numId w:val="0"/>
              </w:numPr>
              <w:bidi w:val="0"/>
              <w:ind w:left="0" w:leftChars="0" w:firstLine="0" w:firstLineChars="0"/>
              <w:rPr>
                <w:rFonts w:hint="eastAsia"/>
              </w:rPr>
            </w:pPr>
            <w:r>
              <w:rPr>
                <w:rFonts w:hint="eastAsia"/>
              </w:rPr>
              <w:t>There are bubbles between the film and the plastic wrap</w:t>
            </w:r>
          </w:p>
        </w:tc>
      </w:tr>
      <w:tr w14:paraId="452F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shd w:val="clear" w:color="auto" w:fill="auto"/>
            <w:vAlign w:val="top"/>
          </w:tcPr>
          <w:p w14:paraId="7B8A29C6">
            <w:pPr>
              <w:rPr>
                <w:rFonts w:hint="eastAsia" w:ascii="Times New Roman" w:hAnsi="Times New Roman" w:eastAsia="微软雅黑" w:cs="Times New Roman"/>
                <w:kern w:val="2"/>
                <w:sz w:val="28"/>
                <w:szCs w:val="24"/>
                <w:lang w:val="en-US" w:eastAsia="zh-CN" w:bidi="ar-SA"/>
              </w:rPr>
            </w:pPr>
            <w:r>
              <w:rPr>
                <w:rFonts w:hint="eastAsia"/>
              </w:rPr>
              <w:t>Solutions</w:t>
            </w:r>
          </w:p>
        </w:tc>
        <w:tc>
          <w:tcPr>
            <w:tcW w:w="7694" w:type="dxa"/>
            <w:tcBorders>
              <w:top w:val="nil"/>
              <w:left w:val="nil"/>
              <w:bottom w:val="single" w:color="7030A0" w:sz="12" w:space="0"/>
              <w:right w:val="single" w:color="7030A0" w:sz="12" w:space="0"/>
            </w:tcBorders>
          </w:tcPr>
          <w:p w14:paraId="1F48E086">
            <w:pPr>
              <w:numPr>
                <w:ilvl w:val="0"/>
                <w:numId w:val="0"/>
              </w:numPr>
              <w:bidi w:val="0"/>
              <w:ind w:left="0" w:leftChars="0" w:firstLine="0" w:firstLineChars="0"/>
              <w:rPr>
                <w:rFonts w:hint="eastAsia"/>
              </w:rPr>
            </w:pPr>
            <w:r>
              <w:rPr>
                <w:rFonts w:hint="eastAsia"/>
              </w:rPr>
              <w:t>Remove bubbles during exposure</w:t>
            </w:r>
          </w:p>
        </w:tc>
      </w:tr>
      <w:tr w14:paraId="7A15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nil"/>
              <w:bottom w:val="single" w:color="7030A0" w:sz="12" w:space="0"/>
              <w:right w:val="nil"/>
            </w:tcBorders>
            <w:shd w:val="clear" w:color="auto" w:fill="auto"/>
            <w:vAlign w:val="top"/>
          </w:tcPr>
          <w:p w14:paraId="040D3468">
            <w:pPr>
              <w:rPr>
                <w:rFonts w:hint="eastAsia"/>
              </w:rPr>
            </w:pPr>
            <w:r>
              <w:rPr>
                <w:rFonts w:hint="eastAsia"/>
              </w:rPr>
              <w:t>Questions</w:t>
            </w:r>
          </w:p>
        </w:tc>
        <w:tc>
          <w:tcPr>
            <w:tcW w:w="7694" w:type="dxa"/>
            <w:tcBorders>
              <w:top w:val="single" w:color="7030A0" w:sz="12" w:space="0"/>
              <w:left w:val="nil"/>
              <w:bottom w:val="single" w:color="7030A0" w:sz="12" w:space="0"/>
              <w:right w:val="nil"/>
            </w:tcBorders>
          </w:tcPr>
          <w:p w14:paraId="038FD1CD">
            <w:pPr>
              <w:numPr>
                <w:ilvl w:val="0"/>
                <w:numId w:val="0"/>
              </w:numPr>
              <w:bidi w:val="0"/>
              <w:ind w:left="0" w:leftChars="0" w:firstLine="0" w:firstLineChars="0"/>
              <w:rPr>
                <w:rFonts w:hint="eastAsia"/>
              </w:rPr>
            </w:pPr>
            <w:r>
              <w:rPr>
                <w:rFonts w:hint="eastAsia"/>
              </w:rPr>
              <w:t>Spots on the film</w:t>
            </w:r>
          </w:p>
        </w:tc>
      </w:tr>
      <w:tr w14:paraId="3A43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single" w:color="7030A0" w:sz="12" w:space="0"/>
              <w:bottom w:val="nil"/>
              <w:right w:val="nil"/>
            </w:tcBorders>
            <w:shd w:val="clear" w:color="auto" w:fill="auto"/>
            <w:vAlign w:val="top"/>
          </w:tcPr>
          <w:p w14:paraId="33A912DD">
            <w:pPr>
              <w:numPr>
                <w:ilvl w:val="0"/>
                <w:numId w:val="0"/>
              </w:numPr>
              <w:bidi w:val="0"/>
              <w:ind w:left="0" w:leftChars="0" w:firstLine="0" w:firstLineChars="0"/>
              <w:rPr>
                <w:rFonts w:hint="eastAsia" w:ascii="Times New Roman" w:hAnsi="Times New Roman" w:eastAsia="微软雅黑" w:cs="Times New Roman"/>
                <w:kern w:val="2"/>
                <w:sz w:val="28"/>
                <w:szCs w:val="24"/>
                <w:lang w:val="en-US" w:eastAsia="zh-CN" w:bidi="ar-SA"/>
              </w:rPr>
            </w:pPr>
            <w:r>
              <w:rPr>
                <w:rFonts w:hint="eastAsia"/>
                <w:lang w:val="en-US" w:eastAsia="zh-CN"/>
              </w:rPr>
              <w:t>C</w:t>
            </w:r>
            <w:r>
              <w:rPr>
                <w:rFonts w:hint="eastAsia"/>
              </w:rPr>
              <w:t>ause</w:t>
            </w:r>
          </w:p>
        </w:tc>
        <w:tc>
          <w:tcPr>
            <w:tcW w:w="7694" w:type="dxa"/>
            <w:tcBorders>
              <w:top w:val="single" w:color="7030A0" w:sz="12" w:space="0"/>
              <w:left w:val="nil"/>
              <w:bottom w:val="nil"/>
              <w:right w:val="single" w:color="7030A0" w:sz="12" w:space="0"/>
            </w:tcBorders>
          </w:tcPr>
          <w:p w14:paraId="06A20C8E">
            <w:pPr>
              <w:rPr>
                <w:rFonts w:hint="eastAsia"/>
              </w:rPr>
            </w:pPr>
            <w:r>
              <w:rPr>
                <w:rFonts w:hint="eastAsia"/>
              </w:rPr>
              <w:t>Secondary antibody aggregates or precipitates</w:t>
            </w:r>
          </w:p>
        </w:tc>
      </w:tr>
      <w:tr w14:paraId="0857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shd w:val="clear" w:color="auto" w:fill="auto"/>
            <w:vAlign w:val="top"/>
          </w:tcPr>
          <w:p w14:paraId="14D206B3">
            <w:pPr>
              <w:rPr>
                <w:rFonts w:hint="eastAsia" w:ascii="Times New Roman" w:hAnsi="Times New Roman" w:eastAsia="微软雅黑" w:cs="Times New Roman"/>
                <w:kern w:val="2"/>
                <w:sz w:val="28"/>
                <w:szCs w:val="24"/>
                <w:lang w:val="en-US" w:eastAsia="zh-CN" w:bidi="ar-SA"/>
              </w:rPr>
            </w:pPr>
            <w:r>
              <w:rPr>
                <w:rFonts w:hint="eastAsia"/>
              </w:rPr>
              <w:t>Solutions</w:t>
            </w:r>
          </w:p>
        </w:tc>
        <w:tc>
          <w:tcPr>
            <w:tcW w:w="7694" w:type="dxa"/>
            <w:tcBorders>
              <w:top w:val="nil"/>
              <w:left w:val="nil"/>
              <w:bottom w:val="single" w:color="7030A0" w:sz="12" w:space="0"/>
              <w:right w:val="single" w:color="7030A0" w:sz="12" w:space="0"/>
            </w:tcBorders>
          </w:tcPr>
          <w:p w14:paraId="3F142982">
            <w:pPr>
              <w:rPr>
                <w:rFonts w:hint="eastAsia"/>
              </w:rPr>
            </w:pPr>
            <w:r>
              <w:rPr>
                <w:rFonts w:hint="eastAsia"/>
              </w:rPr>
              <w:t>The diluted secondary antibody working solution is filtered through a membrane</w:t>
            </w:r>
          </w:p>
        </w:tc>
      </w:tr>
      <w:tr w14:paraId="68F3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nil"/>
              <w:bottom w:val="nil"/>
              <w:right w:val="nil"/>
            </w:tcBorders>
            <w:shd w:val="clear" w:color="auto" w:fill="auto"/>
            <w:vAlign w:val="top"/>
          </w:tcPr>
          <w:p w14:paraId="52BAE047">
            <w:pPr>
              <w:rPr>
                <w:rFonts w:hint="eastAsia"/>
              </w:rPr>
            </w:pPr>
            <w:r>
              <w:rPr>
                <w:rFonts w:hint="eastAsia"/>
              </w:rPr>
              <w:t>Questions</w:t>
            </w:r>
          </w:p>
        </w:tc>
        <w:tc>
          <w:tcPr>
            <w:tcW w:w="7694" w:type="dxa"/>
            <w:tcBorders>
              <w:top w:val="single" w:color="7030A0" w:sz="12" w:space="0"/>
              <w:left w:val="nil"/>
              <w:bottom w:val="nil"/>
              <w:right w:val="nil"/>
            </w:tcBorders>
          </w:tcPr>
          <w:p w14:paraId="3998F98A">
            <w:pPr>
              <w:rPr>
                <w:rFonts w:hint="eastAsia"/>
              </w:rPr>
            </w:pPr>
            <w:r>
              <w:rPr>
                <w:rFonts w:hint="eastAsia"/>
              </w:rPr>
              <w:t>Non-specific bands</w:t>
            </w:r>
          </w:p>
        </w:tc>
      </w:tr>
      <w:tr w14:paraId="5D4C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single" w:color="7030A0" w:sz="12" w:space="0"/>
              <w:bottom w:val="nil"/>
              <w:right w:val="nil"/>
            </w:tcBorders>
            <w:shd w:val="clear" w:color="auto" w:fill="auto"/>
            <w:vAlign w:val="top"/>
          </w:tcPr>
          <w:p w14:paraId="79AFA911">
            <w:pPr>
              <w:numPr>
                <w:ilvl w:val="0"/>
                <w:numId w:val="0"/>
              </w:numPr>
              <w:bidi w:val="0"/>
              <w:ind w:left="0" w:leftChars="0" w:firstLine="0" w:firstLineChars="0"/>
              <w:rPr>
                <w:rFonts w:hint="eastAsia" w:ascii="Times New Roman" w:hAnsi="Times New Roman" w:eastAsia="微软雅黑" w:cs="Times New Roman"/>
                <w:kern w:val="2"/>
                <w:sz w:val="28"/>
                <w:szCs w:val="24"/>
                <w:lang w:val="en-US" w:eastAsia="zh-CN" w:bidi="ar-SA"/>
              </w:rPr>
            </w:pPr>
            <w:r>
              <w:rPr>
                <w:rFonts w:hint="eastAsia"/>
                <w:lang w:val="en-US" w:eastAsia="zh-CN"/>
              </w:rPr>
              <w:t>C</w:t>
            </w:r>
            <w:r>
              <w:rPr>
                <w:rFonts w:hint="eastAsia"/>
              </w:rPr>
              <w:t>ause</w:t>
            </w:r>
          </w:p>
        </w:tc>
        <w:tc>
          <w:tcPr>
            <w:tcW w:w="7694" w:type="dxa"/>
            <w:tcBorders>
              <w:top w:val="single" w:color="7030A0" w:sz="12" w:space="0"/>
              <w:left w:val="nil"/>
              <w:bottom w:val="nil"/>
              <w:right w:val="single" w:color="7030A0" w:sz="12" w:space="0"/>
            </w:tcBorders>
            <w:shd w:val="clear" w:color="auto" w:fill="auto"/>
            <w:vAlign w:val="top"/>
          </w:tcPr>
          <w:p w14:paraId="448F6B17">
            <w:pPr>
              <w:rPr>
                <w:rFonts w:hint="eastAsia" w:ascii="Times New Roman" w:hAnsi="Times New Roman" w:eastAsia="微软雅黑" w:cs="Times New Roman"/>
                <w:kern w:val="2"/>
                <w:sz w:val="28"/>
                <w:szCs w:val="24"/>
                <w:lang w:val="en-US" w:eastAsia="zh-CN" w:bidi="ar-SA"/>
              </w:rPr>
            </w:pPr>
            <w:r>
              <w:rPr>
                <w:rFonts w:hint="eastAsia"/>
              </w:rPr>
              <w:t>Too much HRP</w:t>
            </w:r>
          </w:p>
        </w:tc>
      </w:tr>
      <w:tr w14:paraId="6463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shd w:val="clear" w:color="auto" w:fill="auto"/>
            <w:vAlign w:val="top"/>
          </w:tcPr>
          <w:p w14:paraId="78C96F25">
            <w:pPr>
              <w:rPr>
                <w:rFonts w:hint="eastAsia" w:ascii="Times New Roman" w:hAnsi="Times New Roman" w:eastAsia="微软雅黑" w:cs="Times New Roman"/>
                <w:kern w:val="2"/>
                <w:sz w:val="28"/>
                <w:szCs w:val="24"/>
                <w:lang w:val="en-US" w:eastAsia="zh-CN" w:bidi="ar-SA"/>
              </w:rPr>
            </w:pPr>
            <w:r>
              <w:rPr>
                <w:rFonts w:hint="eastAsia"/>
              </w:rPr>
              <w:t>Solutions</w:t>
            </w:r>
          </w:p>
        </w:tc>
        <w:tc>
          <w:tcPr>
            <w:tcW w:w="7694" w:type="dxa"/>
            <w:tcBorders>
              <w:top w:val="nil"/>
              <w:left w:val="nil"/>
              <w:bottom w:val="single" w:color="7030A0" w:sz="12" w:space="0"/>
              <w:right w:val="single" w:color="7030A0" w:sz="12" w:space="0"/>
            </w:tcBorders>
          </w:tcPr>
          <w:p w14:paraId="47C7B791">
            <w:pPr>
              <w:rPr>
                <w:rFonts w:hint="eastAsia"/>
              </w:rPr>
            </w:pPr>
            <w:r>
              <w:rPr>
                <w:rFonts w:hint="eastAsia"/>
              </w:rPr>
              <w:t>Dilute HRP-secondary antibody to appropriate concentration</w:t>
            </w:r>
          </w:p>
        </w:tc>
      </w:tr>
      <w:tr w14:paraId="3E0B2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single" w:color="7030A0" w:sz="12" w:space="0"/>
              <w:bottom w:val="nil"/>
              <w:right w:val="nil"/>
            </w:tcBorders>
            <w:shd w:val="clear" w:color="auto" w:fill="auto"/>
            <w:vAlign w:val="top"/>
          </w:tcPr>
          <w:p w14:paraId="343370DE">
            <w:pPr>
              <w:numPr>
                <w:ilvl w:val="0"/>
                <w:numId w:val="0"/>
              </w:numPr>
              <w:bidi w:val="0"/>
              <w:ind w:left="0" w:leftChars="0" w:firstLine="0" w:firstLineChars="0"/>
              <w:rPr>
                <w:rFonts w:hint="eastAsia" w:ascii="Times New Roman" w:hAnsi="Times New Roman" w:eastAsia="微软雅黑" w:cs="Times New Roman"/>
                <w:kern w:val="2"/>
                <w:sz w:val="28"/>
                <w:szCs w:val="24"/>
                <w:lang w:val="en-US" w:eastAsia="zh-CN" w:bidi="ar-SA"/>
              </w:rPr>
            </w:pPr>
            <w:r>
              <w:rPr>
                <w:rFonts w:hint="eastAsia"/>
                <w:lang w:val="en-US" w:eastAsia="zh-CN"/>
              </w:rPr>
              <w:t>C</w:t>
            </w:r>
            <w:r>
              <w:rPr>
                <w:rFonts w:hint="eastAsia"/>
              </w:rPr>
              <w:t>ause</w:t>
            </w:r>
          </w:p>
        </w:tc>
        <w:tc>
          <w:tcPr>
            <w:tcW w:w="7694" w:type="dxa"/>
            <w:tcBorders>
              <w:top w:val="single" w:color="7030A0" w:sz="12" w:space="0"/>
              <w:left w:val="nil"/>
              <w:bottom w:val="nil"/>
              <w:right w:val="single" w:color="7030A0" w:sz="12" w:space="0"/>
            </w:tcBorders>
          </w:tcPr>
          <w:p w14:paraId="0CADBBAC">
            <w:pPr>
              <w:rPr>
                <w:rFonts w:hint="eastAsia"/>
              </w:rPr>
            </w:pPr>
            <w:r>
              <w:rPr>
                <w:rFonts w:hint="eastAsia"/>
              </w:rPr>
              <w:t>Poor antibody specifici</w:t>
            </w:r>
            <w:bookmarkStart w:id="0" w:name="_GoBack"/>
            <w:r>
              <w:rPr>
                <w:rFonts w:hint="eastAsia"/>
                <w:lang w:val="en-US" w:eastAsia="zh-CN"/>
              </w:rPr>
              <w:drawing>
                <wp:anchor distT="0" distB="0" distL="114300" distR="114300" simplePos="0" relativeHeight="251668480" behindDoc="1" locked="0" layoutInCell="1" allowOverlap="1">
                  <wp:simplePos x="0" y="0"/>
                  <wp:positionH relativeFrom="column">
                    <wp:posOffset>-2037080</wp:posOffset>
                  </wp:positionH>
                  <wp:positionV relativeFrom="paragraph">
                    <wp:posOffset>-929005</wp:posOffset>
                  </wp:positionV>
                  <wp:extent cx="7578090" cy="10703560"/>
                  <wp:effectExtent l="0" t="0" r="11430" b="10160"/>
                  <wp:wrapNone/>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bookmarkEnd w:id="0"/>
            <w:r>
              <w:rPr>
                <w:rFonts w:hint="eastAsia"/>
              </w:rPr>
              <w:t>ty</w:t>
            </w:r>
          </w:p>
        </w:tc>
      </w:tr>
      <w:tr w14:paraId="2CC5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shd w:val="clear" w:color="auto" w:fill="auto"/>
            <w:vAlign w:val="top"/>
          </w:tcPr>
          <w:p w14:paraId="238FD7D9">
            <w:pPr>
              <w:rPr>
                <w:rFonts w:hint="eastAsia" w:ascii="Times New Roman" w:hAnsi="Times New Roman" w:eastAsia="微软雅黑" w:cs="Times New Roman"/>
                <w:kern w:val="2"/>
                <w:sz w:val="28"/>
                <w:szCs w:val="24"/>
                <w:lang w:val="en-US" w:eastAsia="zh-CN" w:bidi="ar-SA"/>
              </w:rPr>
            </w:pPr>
            <w:r>
              <w:rPr>
                <w:rFonts w:hint="eastAsia"/>
              </w:rPr>
              <w:t>Solutions</w:t>
            </w:r>
          </w:p>
        </w:tc>
        <w:tc>
          <w:tcPr>
            <w:tcW w:w="7694" w:type="dxa"/>
            <w:tcBorders>
              <w:top w:val="nil"/>
              <w:left w:val="nil"/>
              <w:bottom w:val="single" w:color="7030A0" w:sz="12" w:space="0"/>
              <w:right w:val="single" w:color="7030A0" w:sz="12" w:space="0"/>
            </w:tcBorders>
          </w:tcPr>
          <w:p w14:paraId="67DBF203">
            <w:pPr>
              <w:rPr>
                <w:rFonts w:hint="eastAsia"/>
              </w:rPr>
            </w:pPr>
            <w:r>
              <w:rPr>
                <w:rFonts w:hint="eastAsia"/>
              </w:rPr>
              <w:t>Change primary antibody</w:t>
            </w:r>
          </w:p>
        </w:tc>
      </w:tr>
      <w:tr w14:paraId="0F6F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single" w:color="7030A0" w:sz="12" w:space="0"/>
              <w:left w:val="single" w:color="7030A0" w:sz="12" w:space="0"/>
              <w:bottom w:val="nil"/>
              <w:right w:val="nil"/>
            </w:tcBorders>
            <w:shd w:val="clear" w:color="auto" w:fill="auto"/>
            <w:vAlign w:val="top"/>
          </w:tcPr>
          <w:p w14:paraId="346FDA2D">
            <w:pPr>
              <w:rPr>
                <w:rFonts w:hint="eastAsia" w:ascii="Times New Roman" w:hAnsi="Times New Roman" w:eastAsia="微软雅黑" w:cs="Times New Roman"/>
                <w:kern w:val="2"/>
                <w:sz w:val="28"/>
                <w:szCs w:val="24"/>
                <w:lang w:val="en-US" w:eastAsia="zh-CN" w:bidi="ar-SA"/>
              </w:rPr>
            </w:pPr>
            <w:r>
              <w:rPr>
                <w:rFonts w:hint="eastAsia"/>
                <w:lang w:val="en-US" w:eastAsia="zh-CN"/>
              </w:rPr>
              <w:t>C</w:t>
            </w:r>
            <w:r>
              <w:rPr>
                <w:rFonts w:hint="eastAsia"/>
              </w:rPr>
              <w:t>ause</w:t>
            </w:r>
          </w:p>
        </w:tc>
        <w:tc>
          <w:tcPr>
            <w:tcW w:w="7694" w:type="dxa"/>
            <w:tcBorders>
              <w:top w:val="single" w:color="7030A0" w:sz="12" w:space="0"/>
              <w:left w:val="nil"/>
              <w:bottom w:val="nil"/>
              <w:right w:val="single" w:color="7030A0" w:sz="12" w:space="0"/>
            </w:tcBorders>
            <w:shd w:val="clear" w:color="auto" w:fill="auto"/>
            <w:vAlign w:val="top"/>
          </w:tcPr>
          <w:p w14:paraId="6AEC5E16">
            <w:pPr>
              <w:rPr>
                <w:rFonts w:hint="eastAsia" w:ascii="Times New Roman" w:hAnsi="Times New Roman" w:eastAsia="微软雅黑" w:cs="Times New Roman"/>
                <w:kern w:val="2"/>
                <w:sz w:val="28"/>
                <w:szCs w:val="24"/>
                <w:lang w:val="en-US" w:eastAsia="zh-CN" w:bidi="ar-SA"/>
              </w:rPr>
            </w:pPr>
            <w:r>
              <w:rPr>
                <w:rFonts w:hint="eastAsia"/>
              </w:rPr>
              <w:t>SDS causes non-specific binding</w:t>
            </w:r>
          </w:p>
        </w:tc>
      </w:tr>
      <w:tr w14:paraId="60B3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Borders>
              <w:top w:val="nil"/>
              <w:left w:val="single" w:color="7030A0" w:sz="12" w:space="0"/>
              <w:bottom w:val="single" w:color="7030A0" w:sz="12" w:space="0"/>
              <w:right w:val="nil"/>
            </w:tcBorders>
            <w:shd w:val="clear" w:color="auto" w:fill="auto"/>
            <w:vAlign w:val="top"/>
          </w:tcPr>
          <w:p w14:paraId="4AC1B40E">
            <w:pPr>
              <w:rPr>
                <w:rFonts w:hint="eastAsia" w:ascii="Times New Roman" w:hAnsi="Times New Roman" w:eastAsia="微软雅黑" w:cs="Times New Roman"/>
                <w:kern w:val="2"/>
                <w:sz w:val="28"/>
                <w:szCs w:val="24"/>
                <w:lang w:val="en-US" w:eastAsia="zh-CN" w:bidi="ar-SA"/>
              </w:rPr>
            </w:pPr>
            <w:r>
              <w:rPr>
                <w:rFonts w:hint="eastAsia"/>
              </w:rPr>
              <w:t>Solutions</w:t>
            </w:r>
          </w:p>
        </w:tc>
        <w:tc>
          <w:tcPr>
            <w:tcW w:w="7694" w:type="dxa"/>
            <w:tcBorders>
              <w:top w:val="nil"/>
              <w:left w:val="nil"/>
              <w:bottom w:val="single" w:color="7030A0" w:sz="12" w:space="0"/>
              <w:right w:val="single" w:color="7030A0" w:sz="12" w:space="0"/>
            </w:tcBorders>
            <w:shd w:val="clear" w:color="auto" w:fill="auto"/>
            <w:vAlign w:val="top"/>
          </w:tcPr>
          <w:p w14:paraId="2CF9E517">
            <w:pPr>
              <w:rPr>
                <w:rFonts w:hint="eastAsia" w:ascii="Times New Roman" w:hAnsi="Times New Roman" w:eastAsia="微软雅黑" w:cs="Times New Roman"/>
                <w:kern w:val="2"/>
                <w:sz w:val="28"/>
                <w:szCs w:val="24"/>
                <w:lang w:val="en-US" w:eastAsia="zh-CN" w:bidi="ar-SA"/>
              </w:rPr>
            </w:pPr>
            <w:r>
              <w:rPr>
                <w:rFonts w:hint="eastAsia"/>
              </w:rPr>
              <w:t>Standardized transfer operation</w:t>
            </w:r>
          </w:p>
        </w:tc>
      </w:tr>
    </w:tbl>
    <w:p w14:paraId="01BFE28E">
      <w:pPr>
        <w:numPr>
          <w:ilvl w:val="0"/>
          <w:numId w:val="0"/>
        </w:numPr>
        <w:bidi w:val="0"/>
        <w:rPr>
          <w:rFonts w:hint="eastAsia"/>
          <w:lang w:val="en-US" w:eastAsia="zh-CN"/>
        </w:rPr>
      </w:pPr>
    </w:p>
    <w:p w14:paraId="743FE65C">
      <w:pPr>
        <w:numPr>
          <w:ilvl w:val="0"/>
          <w:numId w:val="0"/>
        </w:numPr>
        <w:bidi w:val="0"/>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D04C2E"/>
    <w:multiLevelType w:val="singleLevel"/>
    <w:tmpl w:val="98D04C2E"/>
    <w:lvl w:ilvl="0" w:tentative="0">
      <w:start w:val="1"/>
      <w:numFmt w:val="decimal"/>
      <w:suff w:val="nothing"/>
      <w:lvlText w:val="%1．"/>
      <w:lvlJc w:val="left"/>
      <w:pPr>
        <w:ind w:left="0" w:firstLine="400"/>
      </w:pPr>
      <w:rPr>
        <w:rFonts w:hint="default"/>
      </w:rPr>
    </w:lvl>
  </w:abstractNum>
  <w:abstractNum w:abstractNumId="1">
    <w:nsid w:val="FFE19DC7"/>
    <w:multiLevelType w:val="singleLevel"/>
    <w:tmpl w:val="FFE19DC7"/>
    <w:lvl w:ilvl="0" w:tentative="0">
      <w:start w:val="1"/>
      <w:numFmt w:val="decimal"/>
      <w:suff w:val="nothing"/>
      <w:lvlText w:val="%1．"/>
      <w:lvlJc w:val="left"/>
      <w:pPr>
        <w:ind w:left="0" w:firstLine="400"/>
      </w:pPr>
      <w:rPr>
        <w:rFonts w:hint="default"/>
      </w:rPr>
    </w:lvl>
  </w:abstractNum>
  <w:abstractNum w:abstractNumId="2">
    <w:nsid w:val="26B16D9A"/>
    <w:multiLevelType w:val="singleLevel"/>
    <w:tmpl w:val="26B16D9A"/>
    <w:lvl w:ilvl="0" w:tentative="0">
      <w:start w:val="1"/>
      <w:numFmt w:val="bullet"/>
      <w:lvlText w:val=""/>
      <w:lvlJc w:val="left"/>
      <w:pPr>
        <w:ind w:left="420"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44855607"/>
    <w:rsid w:val="02BE1F43"/>
    <w:rsid w:val="05291528"/>
    <w:rsid w:val="07F67F51"/>
    <w:rsid w:val="084E56AE"/>
    <w:rsid w:val="091B6A42"/>
    <w:rsid w:val="11251C90"/>
    <w:rsid w:val="185976A7"/>
    <w:rsid w:val="197C38F4"/>
    <w:rsid w:val="1DB73C54"/>
    <w:rsid w:val="20BC05DF"/>
    <w:rsid w:val="26424874"/>
    <w:rsid w:val="2C7D19DB"/>
    <w:rsid w:val="2F586FE4"/>
    <w:rsid w:val="328A3ED9"/>
    <w:rsid w:val="33232268"/>
    <w:rsid w:val="389A471E"/>
    <w:rsid w:val="38EC0CA5"/>
    <w:rsid w:val="3C8E4865"/>
    <w:rsid w:val="422F0C86"/>
    <w:rsid w:val="44855607"/>
    <w:rsid w:val="44FB1821"/>
    <w:rsid w:val="455A5ECB"/>
    <w:rsid w:val="459B56C8"/>
    <w:rsid w:val="472B158B"/>
    <w:rsid w:val="48A61938"/>
    <w:rsid w:val="4B44328C"/>
    <w:rsid w:val="4C8A07C3"/>
    <w:rsid w:val="52050E33"/>
    <w:rsid w:val="524F1A19"/>
    <w:rsid w:val="52F872BE"/>
    <w:rsid w:val="538E7855"/>
    <w:rsid w:val="56E056BE"/>
    <w:rsid w:val="577E783D"/>
    <w:rsid w:val="57D625C6"/>
    <w:rsid w:val="5A7622F9"/>
    <w:rsid w:val="65EF4B79"/>
    <w:rsid w:val="66DB666F"/>
    <w:rsid w:val="67966E2F"/>
    <w:rsid w:val="68442359"/>
    <w:rsid w:val="6AEB66F0"/>
    <w:rsid w:val="6E73507C"/>
    <w:rsid w:val="70292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9"/>
    <w:autoRedefine/>
    <w:qFormat/>
    <w:uiPriority w:val="0"/>
    <w:pPr>
      <w:widowControl w:val="0"/>
      <w:bidi w:val="0"/>
      <w:spacing w:line="360" w:lineRule="auto"/>
      <w:jc w:val="left"/>
    </w:pPr>
    <w:rPr>
      <w:rFonts w:ascii="Times New Roman" w:hAnsi="Times New Roman" w:eastAsia="微软雅黑" w:cs="Times New Roman"/>
      <w:kern w:val="2"/>
      <w:sz w:val="28"/>
      <w:szCs w:val="24"/>
      <w:lang w:val="en-US" w:eastAsia="zh-CN" w:bidi="ar-SA"/>
    </w:rPr>
  </w:style>
  <w:style w:type="paragraph" w:styleId="2">
    <w:name w:val="heading 1"/>
    <w:basedOn w:val="1"/>
    <w:next w:val="1"/>
    <w:link w:val="20"/>
    <w:autoRedefine/>
    <w:qFormat/>
    <w:uiPriority w:val="0"/>
    <w:pPr>
      <w:spacing w:beforeAutospacing="0" w:after="0" w:afterAutospacing="0"/>
      <w:jc w:val="left"/>
      <w:outlineLvl w:val="0"/>
    </w:pPr>
    <w:rPr>
      <w:rFonts w:cs="宋体"/>
      <w:b/>
      <w:bCs/>
      <w:kern w:val="44"/>
      <w:sz w:val="32"/>
      <w:szCs w:val="48"/>
      <w:lang w:bidi="ar"/>
    </w:rPr>
  </w:style>
  <w:style w:type="paragraph" w:styleId="3">
    <w:name w:val="heading 2"/>
    <w:basedOn w:val="1"/>
    <w:next w:val="1"/>
    <w:link w:val="14"/>
    <w:unhideWhenUsed/>
    <w:qFormat/>
    <w:uiPriority w:val="0"/>
    <w:pPr>
      <w:keepNext/>
      <w:keepLines/>
      <w:spacing w:beforeLines="0" w:beforeAutospacing="0" w:afterLines="0" w:afterAutospacing="0" w:line="360" w:lineRule="auto"/>
      <w:jc w:val="left"/>
      <w:outlineLvl w:val="1"/>
    </w:pPr>
    <w:rPr>
      <w:rFonts w:ascii="Times New Roman" w:hAnsi="Times New Roman"/>
      <w:b/>
      <w:sz w:val="30"/>
    </w:rPr>
  </w:style>
  <w:style w:type="paragraph" w:styleId="4">
    <w:name w:val="heading 3"/>
    <w:basedOn w:val="1"/>
    <w:next w:val="1"/>
    <w:link w:val="15"/>
    <w:semiHidden/>
    <w:unhideWhenUsed/>
    <w:qFormat/>
    <w:uiPriority w:val="0"/>
    <w:pPr>
      <w:spacing w:before="0" w:beforeAutospacing="0" w:after="0" w:afterAutospacing="0"/>
      <w:jc w:val="left"/>
      <w:outlineLvl w:val="2"/>
    </w:pPr>
    <w:rPr>
      <w:rFonts w:hint="eastAsia" w:ascii="Times New Roman" w:hAnsi="Times New Roman" w:cs="宋体"/>
      <w:b/>
      <w:bCs/>
      <w:kern w:val="0"/>
      <w:sz w:val="32"/>
      <w:szCs w:val="27"/>
      <w:lang w:bidi="ar"/>
    </w:rPr>
  </w:style>
  <w:style w:type="paragraph" w:styleId="5">
    <w:name w:val="heading 4"/>
    <w:basedOn w:val="1"/>
    <w:next w:val="1"/>
    <w:link w:val="16"/>
    <w:semiHidden/>
    <w:unhideWhenUsed/>
    <w:qFormat/>
    <w:uiPriority w:val="0"/>
    <w:pPr>
      <w:spacing w:before="0" w:beforeAutospacing="0" w:after="0" w:afterAutospacing="0"/>
      <w:jc w:val="left"/>
      <w:outlineLvl w:val="3"/>
    </w:pPr>
    <w:rPr>
      <w:rFonts w:hint="eastAsia" w:ascii="Times New Roman" w:hAnsi="Times New Roman" w:cs="宋体"/>
      <w:b/>
      <w:bCs/>
      <w:kern w:val="0"/>
      <w:sz w:val="28"/>
      <w:lang w:bidi="ar"/>
    </w:rPr>
  </w:style>
  <w:style w:type="paragraph" w:styleId="6">
    <w:name w:val="heading 5"/>
    <w:basedOn w:val="1"/>
    <w:next w:val="1"/>
    <w:semiHidden/>
    <w:unhideWhenUsed/>
    <w:qFormat/>
    <w:uiPriority w:val="0"/>
    <w:pPr>
      <w:keepNext/>
      <w:keepLines/>
      <w:spacing w:beforeLines="0" w:beforeAutospacing="0" w:afterLines="0" w:afterAutospacing="0" w:line="360" w:lineRule="auto"/>
      <w:outlineLvl w:val="4"/>
    </w:pPr>
    <w:rPr>
      <w:b/>
    </w:rPr>
  </w:style>
  <w:style w:type="paragraph" w:styleId="7">
    <w:name w:val="heading 6"/>
    <w:basedOn w:val="1"/>
    <w:next w:val="1"/>
    <w:link w:val="17"/>
    <w:semiHidden/>
    <w:unhideWhenUsed/>
    <w:qFormat/>
    <w:uiPriority w:val="0"/>
    <w:pPr>
      <w:keepNext/>
      <w:keepLines/>
      <w:spacing w:beforeLines="0" w:beforeAutospacing="0" w:afterLines="0" w:afterAutospacing="0" w:line="360" w:lineRule="auto"/>
      <w:outlineLvl w:val="5"/>
    </w:pPr>
    <w:rPr>
      <w:rFonts w:ascii="Times New Roman" w:hAnsi="Times New Roman" w:eastAsia="宋体"/>
      <w:b/>
      <w:sz w:val="24"/>
    </w:rPr>
  </w:style>
  <w:style w:type="paragraph" w:styleId="8">
    <w:name w:val="heading 7"/>
    <w:basedOn w:val="1"/>
    <w:next w:val="1"/>
    <w:semiHidden/>
    <w:unhideWhenUsed/>
    <w:qFormat/>
    <w:uiPriority w:val="0"/>
    <w:pPr>
      <w:keepNext/>
      <w:keepLines/>
      <w:spacing w:beforeLines="0" w:beforeAutospacing="0" w:afterLines="0" w:afterAutospacing="0" w:line="360" w:lineRule="auto"/>
      <w:outlineLvl w:val="6"/>
    </w:pPr>
    <w:rPr>
      <w:b/>
      <w:sz w:val="24"/>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customStyle="1" w:styleId="14">
    <w:name w:val="标题 2 Char"/>
    <w:link w:val="3"/>
    <w:autoRedefine/>
    <w:qFormat/>
    <w:uiPriority w:val="0"/>
    <w:rPr>
      <w:rFonts w:ascii="Times New Roman" w:hAnsi="Times New Roman" w:eastAsia="微软雅黑"/>
      <w:b/>
      <w:sz w:val="30"/>
    </w:rPr>
  </w:style>
  <w:style w:type="character" w:customStyle="1" w:styleId="15">
    <w:name w:val="标题 3 Char"/>
    <w:link w:val="4"/>
    <w:autoRedefine/>
    <w:qFormat/>
    <w:uiPriority w:val="0"/>
    <w:rPr>
      <w:rFonts w:hint="eastAsia" w:ascii="Times New Roman" w:hAnsi="Times New Roman" w:eastAsia="宋体" w:cs="宋体"/>
      <w:b/>
      <w:bCs/>
      <w:kern w:val="0"/>
      <w:sz w:val="32"/>
      <w:szCs w:val="32"/>
      <w:lang w:val="en-US" w:eastAsia="zh-CN" w:bidi="ar"/>
    </w:rPr>
  </w:style>
  <w:style w:type="character" w:customStyle="1" w:styleId="16">
    <w:name w:val="标题 4 Char"/>
    <w:link w:val="5"/>
    <w:qFormat/>
    <w:uiPriority w:val="0"/>
    <w:rPr>
      <w:rFonts w:hint="eastAsia" w:ascii="Times New Roman" w:hAnsi="Times New Roman" w:eastAsia="宋体" w:cs="宋体"/>
      <w:b/>
      <w:bCs/>
      <w:kern w:val="0"/>
      <w:sz w:val="28"/>
      <w:szCs w:val="24"/>
      <w:lang w:val="en-US" w:eastAsia="zh-CN" w:bidi="ar"/>
    </w:rPr>
  </w:style>
  <w:style w:type="character" w:customStyle="1" w:styleId="17">
    <w:name w:val="标题 6 Char"/>
    <w:link w:val="7"/>
    <w:qFormat/>
    <w:uiPriority w:val="0"/>
    <w:rPr>
      <w:rFonts w:ascii="Times New Roman" w:hAnsi="Times New Roman" w:eastAsia="宋体"/>
      <w:b/>
      <w:sz w:val="24"/>
    </w:rPr>
  </w:style>
  <w:style w:type="character" w:customStyle="1" w:styleId="18">
    <w:name w:val="样式1"/>
    <w:basedOn w:val="12"/>
    <w:autoRedefine/>
    <w:qFormat/>
    <w:uiPriority w:val="0"/>
    <w:rPr>
      <w:rFonts w:hint="eastAsia" w:ascii="Times New Roman" w:hAnsi="Times New Roman" w:eastAsia="宋体"/>
      <w:sz w:val="21"/>
      <w:lang w:val="en-US" w:eastAsia="zh-CN"/>
    </w:rPr>
  </w:style>
  <w:style w:type="character" w:customStyle="1" w:styleId="19">
    <w:name w:val="正文 Char"/>
    <w:link w:val="1"/>
    <w:qFormat/>
    <w:uiPriority w:val="0"/>
    <w:rPr>
      <w:rFonts w:ascii="Times New Roman" w:hAnsi="Times New Roman" w:eastAsia="微软雅黑" w:cs="Times New Roman"/>
      <w:kern w:val="2"/>
      <w:sz w:val="28"/>
      <w:szCs w:val="24"/>
      <w:lang w:val="en-US" w:eastAsia="zh-CN" w:bidi="ar-SA"/>
    </w:rPr>
  </w:style>
  <w:style w:type="character" w:customStyle="1" w:styleId="20">
    <w:name w:val="标题 1 Char"/>
    <w:link w:val="2"/>
    <w:qFormat/>
    <w:uiPriority w:val="0"/>
    <w:rPr>
      <w:rFonts w:hint="default" w:ascii="Times New Roman" w:hAnsi="Times New Roman" w:eastAsia="微软雅黑" w:cs="宋体"/>
      <w:b/>
      <w:bCs/>
      <w:kern w:val="44"/>
      <w:sz w:val="32"/>
      <w:szCs w:val="48"/>
      <w:lang w:bidi="ar"/>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1316</Words>
  <Characters>7745</Characters>
  <Lines>0</Lines>
  <Paragraphs>0</Paragraphs>
  <TotalTime>16</TotalTime>
  <ScaleCrop>false</ScaleCrop>
  <LinksUpToDate>false</LinksUpToDate>
  <CharactersWithSpaces>8943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2024-11-22T07:00:00Z</dcterms:created>
  <dc:creator>郭新悦</dc:creator>
  <cp:lastModifiedBy>维</cp:lastModifiedBy>
  <dcterms:modified xsi:type="dcterms:W3CDTF">2026-05-21T02:38:20Z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ED76EAEF46F94BB2B648AD23A953425D_13</vt:lpwstr>
  </property>
  <property fmtid="{D5CDD505-2E9C-101B-9397-08002B2CF9AE}" pid="4" name="KSOTemplateDocerSaveRecord">
    <vt:lpwstr>eyJoZGlkIjoiMzEwNTM5NzYwMDRjMzkwZTVkZjY2ODkwMGIxNGU0OTUiLCJ1c2VySWQiOiI5NjI0MDgyNDIifQ==</vt:lpwstr>
  </property>
</Properties>
</file>