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18C9B">
      <w:pPr>
        <w:rPr>
          <w:rFonts w:hint="eastAsia"/>
          <w:b/>
          <w:bCs/>
          <w:sz w:val="32"/>
          <w:szCs w:val="28"/>
          <w:lang w:val="en-US" w:eastAsia="zh-CN"/>
        </w:rPr>
      </w:pP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-1156970</wp:posOffset>
            </wp:positionH>
            <wp:positionV relativeFrom="paragraph">
              <wp:posOffset>-946785</wp:posOffset>
            </wp:positionV>
            <wp:extent cx="7686675" cy="10790555"/>
            <wp:effectExtent l="0" t="0" r="9525" b="14605"/>
            <wp:wrapNone/>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sz w:val="32"/>
        </w:rPr>
        <mc:AlternateContent>
          <mc:Choice Requires="wps">
            <w:drawing>
              <wp:anchor distT="0" distB="0" distL="114300" distR="114300" simplePos="0" relativeHeight="251660288" behindDoc="0" locked="0" layoutInCell="1" allowOverlap="1">
                <wp:simplePos x="0" y="0"/>
                <wp:positionH relativeFrom="column">
                  <wp:posOffset>-188595</wp:posOffset>
                </wp:positionH>
                <wp:positionV relativeFrom="paragraph">
                  <wp:posOffset>7191375</wp:posOffset>
                </wp:positionV>
                <wp:extent cx="6039485" cy="1642110"/>
                <wp:effectExtent l="0" t="0" r="10795" b="3810"/>
                <wp:wrapNone/>
                <wp:docPr id="3" name="文本框 3"/>
                <wp:cNvGraphicFramePr/>
                <a:graphic xmlns:a="http://schemas.openxmlformats.org/drawingml/2006/main">
                  <a:graphicData uri="http://schemas.microsoft.com/office/word/2010/wordprocessingShape">
                    <wps:wsp>
                      <wps:cNvSpPr txBox="1"/>
                      <wps:spPr>
                        <a:xfrm>
                          <a:off x="1097280" y="7790815"/>
                          <a:ext cx="6039485" cy="164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default"/>
                                <w:color w:val="7030A0"/>
                                <w:sz w:val="72"/>
                                <w:szCs w:val="192"/>
                                <w:lang w:val="en-US" w:eastAsia="zh-CN"/>
                              </w:rPr>
                            </w:pPr>
                            <w:r>
                              <w:rPr>
                                <w:rFonts w:hint="eastAsia"/>
                                <w:color w:val="7030A0"/>
                                <w:sz w:val="72"/>
                                <w:szCs w:val="192"/>
                                <w:lang w:val="en-US" w:eastAsia="zh-CN"/>
                              </w:rPr>
                              <w:t>Cat No. W2501</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MaxSignal</w:t>
                            </w:r>
                            <w:r>
                              <w:rPr>
                                <w:rFonts w:hint="eastAsia"/>
                                <w:color w:val="7030A0"/>
                                <w:sz w:val="56"/>
                                <w:szCs w:val="112"/>
                                <w:lang w:val="en-US" w:eastAsia="zh-CN"/>
                              </w:rPr>
                              <w:t xml:space="preserve"> ECL solution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566.25pt;height:129.3pt;width:475.55pt;z-index:251660288;mso-width-relative:page;mso-height-relative:page;" fillcolor="#FFFFFF [3201]" filled="t" stroked="f" coordsize="21600,21600" o:gfxdata="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UvIE7YAAAADQEAAA8AAAAAAAAAAQAgAAAAIgAAAGRycy9kb3ducmV2LnhtbFBLAQIUABQAAAAI&#10;AIdO4kCeCiL1XwIAAJwEAAAOAAAAAAAAAAEAIAAAACcBAABkcnMvZTJvRG9jLnhtbFBLBQYAAAAA&#10;BgAGAFkBAAD4BQAAAAA=&#10;">
                <v:fill on="t" focussize="0,0"/>
                <v:stroke on="f" weight="0.5pt"/>
                <v:imagedata o:title=""/>
                <o:lock v:ext="edit" aspectratio="f"/>
                <v:textbo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default"/>
                          <w:color w:val="7030A0"/>
                          <w:sz w:val="72"/>
                          <w:szCs w:val="192"/>
                          <w:lang w:val="en-US" w:eastAsia="zh-CN"/>
                        </w:rPr>
                      </w:pPr>
                      <w:r>
                        <w:rPr>
                          <w:rFonts w:hint="eastAsia"/>
                          <w:color w:val="7030A0"/>
                          <w:sz w:val="72"/>
                          <w:szCs w:val="192"/>
                          <w:lang w:val="en-US" w:eastAsia="zh-CN"/>
                        </w:rPr>
                        <w:t>Cat No. W2501</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MaxSignal</w:t>
                      </w:r>
                      <w:r>
                        <w:rPr>
                          <w:rFonts w:hint="eastAsia"/>
                          <w:color w:val="7030A0"/>
                          <w:sz w:val="56"/>
                          <w:szCs w:val="112"/>
                          <w:lang w:val="en-US" w:eastAsia="zh-CN"/>
                        </w:rPr>
                        <w:t xml:space="preserve"> ECL solution</w:t>
                      </w:r>
                    </w:p>
                  </w:txbxContent>
                </v:textbox>
              </v:shape>
            </w:pict>
          </mc:Fallback>
        </mc:AlternateContent>
      </w:r>
      <w:r>
        <w:rPr>
          <w:rFonts w:hint="eastAsia"/>
          <w:b/>
          <w:bCs/>
          <w:sz w:val="32"/>
          <w:szCs w:val="28"/>
          <w:lang w:val="en-US" w:eastAsia="zh-CN"/>
        </w:rPr>
        <w:br w:type="page"/>
      </w:r>
    </w:p>
    <w:p w14:paraId="41DDB530">
      <w:pPr>
        <w:bidi w:val="0"/>
        <w:ind w:firstLine="560" w:firstLineChars="20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729F76EA">
      <w:pPr>
        <w:bidi w:val="0"/>
        <w:ind w:firstLine="560" w:firstLineChars="200"/>
        <w:rPr>
          <w:rFonts w:hint="default"/>
          <w:lang w:val="en-US" w:eastAsia="zh-CN"/>
        </w:rPr>
      </w:pPr>
      <w:r>
        <w:rPr>
          <w:rFonts w:hint="eastAsia"/>
          <w:lang w:val="en-US" w:eastAsia="zh-CN"/>
        </w:rPr>
        <w:t>U-Blot</w:t>
      </w:r>
      <w:r>
        <w:rPr>
          <w:rFonts w:hint="eastAsia"/>
          <w:vertAlign w:val="superscript"/>
          <w:lang w:val="en-US" w:eastAsia="zh-CN"/>
        </w:rPr>
        <w:t xml:space="preserve">® </w:t>
      </w:r>
      <w:r>
        <w:rPr>
          <w:rFonts w:hint="default"/>
          <w:lang w:val="en-US" w:eastAsia="zh-CN"/>
        </w:rPr>
        <w:t>MaxSignal</w:t>
      </w:r>
      <w:r>
        <w:rPr>
          <w:rFonts w:hint="default"/>
        </w:rPr>
        <w:t xml:space="preserve"> ECL Solution is a highly sensitive, non-radioactive chemiluminescent substrate based on Luminol for detecting horseradish peroxidase (HRP) immobilized on membranes in immunoblotting, with the ability to detect antigens as low as femtograms.</w:t>
      </w:r>
      <w:r>
        <w:rPr>
          <w:rFonts w:hint="eastAsia"/>
          <w:lang w:val="en-US" w:eastAsia="zh-CN"/>
        </w:rPr>
        <w:t xml:space="preserve"> </w:t>
      </w:r>
      <w:r>
        <w:rPr>
          <w:rFonts w:hint="default"/>
        </w:rPr>
        <w:t>The continuous luminescence lasts up to 6 hours and can be repeatedly exposed to chemiluminescent imaging systems for optimal results, as well as for stripping immunodetection reagents and reprobing.</w:t>
      </w:r>
    </w:p>
    <w:p w14:paraId="0CBF61B0">
      <w:pPr>
        <w:pStyle w:val="3"/>
        <w:bidi w:val="0"/>
        <w:rPr>
          <w:rFonts w:hint="default"/>
          <w:lang w:val="en-US" w:eastAsia="zh-CN"/>
        </w:rPr>
      </w:pPr>
      <w:r>
        <w:rPr>
          <w:rFonts w:hint="default"/>
          <w:lang w:val="en-US" w:eastAsia="zh-CN"/>
        </w:rPr>
        <w:t>Applications</w:t>
      </w:r>
    </w:p>
    <w:p w14:paraId="125726F0">
      <w:pPr>
        <w:bidi w:val="0"/>
        <w:ind w:firstLine="560" w:firstLineChars="200"/>
        <w:rPr>
          <w:rFonts w:hint="eastAsia"/>
          <w:b/>
          <w:bCs/>
          <w:spacing w:val="-11"/>
          <w:sz w:val="21"/>
          <w:szCs w:val="21"/>
        </w:rPr>
      </w:pPr>
      <w:r>
        <w:rPr>
          <w:rFonts w:hint="eastAsia"/>
          <w:lang w:val="en-US" w:eastAsia="zh-CN"/>
        </w:rPr>
        <w:t>U-Blot</w:t>
      </w:r>
      <w:r>
        <w:rPr>
          <w:rFonts w:hint="eastAsia"/>
          <w:vertAlign w:val="superscript"/>
          <w:lang w:val="en-US" w:eastAsia="zh-CN"/>
        </w:rPr>
        <w:t xml:space="preserve">® </w:t>
      </w:r>
      <w:r>
        <w:rPr>
          <w:rFonts w:hint="default"/>
          <w:lang w:val="en-US" w:eastAsia="zh-CN"/>
        </w:rPr>
        <w:t>MaxSignal</w:t>
      </w:r>
      <w:r>
        <w:rPr>
          <w:rFonts w:hint="default"/>
        </w:rPr>
        <w:t xml:space="preserve"> ECL Solution can be used to detect HRP-</w:t>
      </w:r>
      <w:r>
        <w:rPr>
          <w:rFonts w:hint="eastAsia"/>
          <w:lang w:val="en-US" w:eastAsia="zh-CN"/>
        </w:rPr>
        <w:t xml:space="preserve"> </w:t>
      </w:r>
      <w:r>
        <w:rPr>
          <w:rFonts w:hint="default"/>
        </w:rPr>
        <w:t>labeled probes or antibodies in Western Blot, Northern Blot, Southern Blot, Dot Blot, and other experiments.</w:t>
      </w:r>
    </w:p>
    <w:p w14:paraId="77970737">
      <w:pPr>
        <w:bidi w:val="0"/>
        <w:rPr>
          <w:rFonts w:hint="eastAsia" w:ascii="Times New Roman" w:hAnsi="Times New Roman" w:eastAsia="微软雅黑" w:cs="Times New Roman"/>
          <w:b/>
          <w:kern w:val="2"/>
          <w:sz w:val="30"/>
          <w:szCs w:val="24"/>
          <w:lang w:val="en-US" w:eastAsia="zh-CN" w:bidi="ar-SA"/>
        </w:rPr>
      </w:pPr>
      <w:r>
        <w:rPr>
          <w:rFonts w:hint="eastAsia" w:ascii="Times New Roman" w:hAnsi="Times New Roman" w:eastAsia="微软雅黑" w:cs="Times New Roman"/>
          <w:b/>
          <w:kern w:val="2"/>
          <w:sz w:val="30"/>
          <w:szCs w:val="24"/>
          <w:lang w:val="en-US" w:eastAsia="zh-CN" w:bidi="ar-SA"/>
        </w:rPr>
        <w:t>Storage and stability:</w:t>
      </w:r>
    </w:p>
    <w:p w14:paraId="0CD50CC8">
      <w:pPr>
        <w:bidi w:val="0"/>
        <w:ind w:firstLine="560" w:firstLineChars="200"/>
        <w:rPr>
          <w:rFonts w:hint="default"/>
          <w:lang w:val="en-US" w:eastAsia="zh-CN"/>
        </w:rPr>
      </w:pPr>
      <w:r>
        <w:rPr>
          <w:rFonts w:hint="eastAsia"/>
          <w:lang w:val="en-US" w:eastAsia="zh-CN"/>
        </w:rPr>
        <w:t>Store and transport at room temperature (2-30</w:t>
      </w:r>
      <w:r>
        <w:rPr>
          <w:rFonts w:hint="default" w:ascii="Times New Roman" w:hAnsi="Times New Roman" w:cs="Times New Roman"/>
          <w:lang w:val="en-US" w:eastAsia="zh-CN"/>
        </w:rPr>
        <w:t>℃</w:t>
      </w:r>
      <w:r>
        <w:rPr>
          <w:rFonts w:hint="eastAsia"/>
          <w:lang w:val="en-US" w:eastAsia="zh-CN"/>
        </w:rPr>
        <w:t>) in a dry and sealed container away from light, with a shelf life of up to 1 year; store at 2-8</w:t>
      </w:r>
      <w:r>
        <w:rPr>
          <w:rFonts w:hint="default" w:ascii="Times New Roman" w:hAnsi="Times New Roman" w:cs="Times New Roman"/>
          <w:lang w:val="en-US" w:eastAsia="zh-CN"/>
        </w:rPr>
        <w:t>℃</w:t>
      </w:r>
      <w:r>
        <w:rPr>
          <w:rFonts w:hint="eastAsia"/>
          <w:lang w:val="en-US" w:eastAsia="zh-CN"/>
        </w:rPr>
        <w:t xml:space="preserve"> in a dry and sealed container away from light, with a shelf life of up to 2 years.</w:t>
      </w:r>
    </w:p>
    <w:p w14:paraId="134E0FDB">
      <w:pPr>
        <w:pStyle w:val="3"/>
        <w:bidi w:val="0"/>
        <w:rPr>
          <w:rFonts w:hint="default"/>
          <w:lang w:val="en-US" w:eastAsia="zh-CN"/>
        </w:rPr>
      </w:pPr>
      <w:r>
        <w:rPr>
          <w:rFonts w:hint="default"/>
          <w:lang w:val="en-US" w:eastAsia="zh-CN"/>
        </w:rPr>
        <w:t>Instructions for use</w:t>
      </w:r>
    </w:p>
    <w:p w14:paraId="2674018A">
      <w:pPr>
        <w:numPr>
          <w:ilvl w:val="0"/>
          <w:numId w:val="1"/>
        </w:numPr>
        <w:bidi w:val="0"/>
        <w:ind w:left="0" w:leftChars="0" w:firstLine="560" w:firstLineChars="200"/>
        <w:rPr>
          <w:rFonts w:hint="eastAsia"/>
          <w:lang w:val="en-US" w:eastAsia="zh-CN"/>
        </w:rPr>
      </w:pPr>
      <w:r>
        <w:rPr>
          <w:rFonts w:hint="eastAsia"/>
          <w:lang w:val="en-US" w:eastAsia="zh-CN"/>
        </w:rPr>
        <w:t xml:space="preserve">Perform routine electrophoresis, transfer, incubate with HRP-labeled antibodies or nucleic acid probes, and wash the membrane. Note that IgG should be labeled with HRP or the primary antibody- streptavidin-biotin-HRP method should be used. Hybridize the </w:t>
      </w:r>
    </w:p>
    <w:p w14:paraId="5725F94B">
      <w:pPr>
        <w:numPr>
          <w:ilvl w:val="0"/>
          <w:numId w:val="0"/>
        </w:numPr>
        <w:bidi w:val="0"/>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509B2D64">
      <w:pPr>
        <w:numPr>
          <w:ilvl w:val="0"/>
          <w:numId w:val="0"/>
        </w:numPr>
        <w:bidi w:val="0"/>
        <w:rPr>
          <w:rFonts w:hint="eastAsia"/>
          <w:lang w:val="en-US" w:eastAsia="zh-CN"/>
        </w:rPr>
      </w:pPr>
      <w:r>
        <w:rPr>
          <w:rFonts w:hint="eastAsia"/>
          <w:lang w:val="en-US" w:eastAsia="zh-CN"/>
        </w:rPr>
        <w:t>nucleic acid hybridization membrane with HRP-labeled probes and wash the membrane.</w:t>
      </w:r>
    </w:p>
    <w:p w14:paraId="064FE222">
      <w:pPr>
        <w:numPr>
          <w:ilvl w:val="0"/>
          <w:numId w:val="1"/>
        </w:numPr>
        <w:bidi w:val="0"/>
        <w:ind w:left="0" w:leftChars="0" w:firstLine="560" w:firstLineChars="200"/>
        <w:rPr>
          <w:rFonts w:hint="eastAsia"/>
          <w:lang w:val="en-US" w:eastAsia="zh-CN"/>
        </w:rPr>
      </w:pPr>
      <w:r>
        <w:rPr>
          <w:rFonts w:hint="eastAsia"/>
          <w:lang w:val="en-US" w:eastAsia="zh-CN"/>
        </w:rPr>
        <w:t>When washing the HRP-labeled secondary antibody on the membrane, prepare a fresh luminescent working solution by mixing equal volumes of Luminol/Enhancer solution and Stable Peroxide Buffer (1:1). Allow the solution to warm to room temperature; otherwise, the fluorescence intensity may be weakened. It is recommended to use the working solution immediately. While it can still be used after being left at room temperature for several hours, sensitivity will be slightly reduced.</w:t>
      </w:r>
    </w:p>
    <w:p w14:paraId="240A3F2E">
      <w:pPr>
        <w:numPr>
          <w:ilvl w:val="0"/>
          <w:numId w:val="1"/>
        </w:numPr>
        <w:bidi w:val="0"/>
        <w:ind w:left="0" w:leftChars="0" w:firstLine="560" w:firstLineChars="200"/>
        <w:rPr>
          <w:rFonts w:hint="eastAsia"/>
          <w:lang w:val="en-US" w:eastAsia="zh-CN"/>
        </w:rPr>
      </w:pPr>
      <w:r>
        <w:rPr>
          <w:rFonts w:hint="eastAsia"/>
          <w:lang w:val="en-US" w:eastAsia="zh-CN"/>
        </w:rPr>
        <w:t>Remove the membrane with tweezers and place it on filter paper to drain the washing solution, but do not allow the membrane to dry completely. Immerse the membrane fully to ensure full contact with the luminescent working solution (0.125 mL luminescent working solution per cm of membrane). Incubate at room temperature for 3-5 minutes before pressing and exposing. Extended incubation time will not increase sensitivity and may cause abnormal exposure bands. The essence of the luminescence process is an enzymatic reaction. Using too little luminescent working solution will hinder the reaction, leading to uneven exposure of the bands and significantly reduced sensitivity. To save on materials, the membrane can be cut smaller, but the amount of luminescent solution should not be reduced.</w:t>
      </w:r>
    </w:p>
    <w:p w14:paraId="3B1CD6D7">
      <w:pPr>
        <w:numPr>
          <w:ilvl w:val="0"/>
          <w:numId w:val="0"/>
        </w:numPr>
        <w:bidi w:val="0"/>
        <w:ind w:leftChars="200"/>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5FFCAA7F">
      <w:pPr>
        <w:numPr>
          <w:ilvl w:val="0"/>
          <w:numId w:val="1"/>
        </w:numPr>
        <w:bidi w:val="0"/>
        <w:ind w:left="0" w:leftChars="0" w:firstLine="560" w:firstLineChars="200"/>
        <w:rPr>
          <w:rFonts w:hint="eastAsia"/>
          <w:lang w:val="en-US" w:eastAsia="zh-CN"/>
        </w:rPr>
      </w:pPr>
      <w:r>
        <w:rPr>
          <w:rFonts w:hint="eastAsia"/>
          <w:lang w:val="en-US" w:eastAsia="zh-CN"/>
        </w:rPr>
        <w:t>Pick up the membrane with tweezers and place it on filter paper to drain the luminescent working solution.</w:t>
      </w:r>
    </w:p>
    <w:p w14:paraId="1EBECF03">
      <w:pPr>
        <w:numPr>
          <w:ilvl w:val="0"/>
          <w:numId w:val="1"/>
        </w:numPr>
        <w:bidi w:val="0"/>
        <w:ind w:left="0" w:leftChars="0" w:firstLine="560" w:firstLineChars="200"/>
        <w:rPr>
          <w:rFonts w:hint="eastAsia"/>
          <w:lang w:val="en-US" w:eastAsia="zh-CN"/>
        </w:rPr>
      </w:pPr>
      <w:r>
        <w:rPr>
          <w:rFonts w:hint="eastAsia"/>
          <w:lang w:val="en-US" w:eastAsia="zh-CN"/>
        </w:rPr>
        <w:t>Place the blot membrane into the imaging device, and adjust the placement orientation of the membrane in accordance with the instrument instructions.</w:t>
      </w:r>
      <w:r>
        <w:rPr>
          <w:rFonts w:hint="eastAsia"/>
          <w:lang w:val="en-US" w:eastAsia="zh-CN"/>
        </w:rPr>
        <w:t xml:space="preserve"> Use filter paper to absorb any excess luminescent working solution.</w:t>
      </w:r>
    </w:p>
    <w:p w14:paraId="535F5CC0">
      <w:pPr>
        <w:numPr>
          <w:ilvl w:val="0"/>
          <w:numId w:val="1"/>
        </w:numPr>
        <w:bidi w:val="0"/>
        <w:ind w:left="0" w:leftChars="0" w:firstLine="560" w:firstLineChars="200"/>
        <w:rPr>
          <w:rFonts w:hint="eastAsia"/>
          <w:lang w:val="en-US" w:eastAsia="zh-CN"/>
        </w:rPr>
      </w:pPr>
      <w:r>
        <w:rPr>
          <w:rFonts w:hint="eastAsia"/>
          <w:lang w:val="en-US" w:eastAsia="zh-CN"/>
        </w:rPr>
        <w:t>Expose it for a period of time, ranging from seconds to minutes. Develop and rinse the film.</w:t>
      </w:r>
    </w:p>
    <w:p w14:paraId="5AA8BA8C">
      <w:pPr>
        <w:pStyle w:val="3"/>
        <w:bidi w:val="0"/>
      </w:pPr>
      <w:r>
        <w:rPr>
          <w:rFonts w:hint="eastAsia"/>
          <w:lang w:val="en-US" w:eastAsia="zh-CN"/>
        </w:rPr>
        <w:t>Tech notes</w:t>
      </w:r>
    </w:p>
    <w:p w14:paraId="3A1F1210">
      <w:pPr>
        <w:numPr>
          <w:ilvl w:val="0"/>
          <w:numId w:val="2"/>
        </w:numPr>
        <w:bidi w:val="0"/>
        <w:ind w:left="0" w:leftChars="0" w:firstLine="560" w:firstLineChars="200"/>
        <w:rPr>
          <w:rFonts w:hint="eastAsia"/>
          <w:lang w:val="en-US" w:eastAsia="zh-CN"/>
        </w:rPr>
      </w:pPr>
      <w:r>
        <w:rPr>
          <w:rFonts w:hint="eastAsia"/>
          <w:lang w:val="en-US" w:eastAsia="zh-CN"/>
        </w:rPr>
        <w:t>Since milk contains endogenous biotin, avoid using milk powder in the blocking solution when employing the avidin/biotin system.</w:t>
      </w:r>
    </w:p>
    <w:p w14:paraId="6782B3A3">
      <w:pPr>
        <w:numPr>
          <w:ilvl w:val="0"/>
          <w:numId w:val="2"/>
        </w:numPr>
        <w:bidi w:val="0"/>
        <w:ind w:left="0" w:leftChars="0" w:firstLine="560" w:firstLineChars="200"/>
        <w:rPr>
          <w:rFonts w:hint="eastAsia"/>
          <w:lang w:val="en-US" w:eastAsia="zh-CN"/>
        </w:rPr>
      </w:pPr>
      <w:r>
        <w:rPr>
          <w:rFonts w:hint="eastAsia"/>
          <w:lang w:val="en-US" w:eastAsia="zh-CN"/>
        </w:rPr>
        <w:t>Add high-quality Tween-20 (final concentration of 0.05%) to the blocking buffer and all antibody diluents to reduce nonspecific binding.</w:t>
      </w:r>
    </w:p>
    <w:p w14:paraId="12001A15">
      <w:pPr>
        <w:numPr>
          <w:ilvl w:val="0"/>
          <w:numId w:val="2"/>
        </w:numPr>
        <w:bidi w:val="0"/>
        <w:ind w:left="0" w:leftChars="0" w:firstLine="560" w:firstLineChars="200"/>
        <w:rPr>
          <w:rFonts w:hint="eastAsia"/>
          <w:lang w:val="en-US" w:eastAsia="zh-CN"/>
        </w:rPr>
      </w:pPr>
      <w:r>
        <w:rPr>
          <w:rFonts w:hint="eastAsia"/>
          <w:lang w:val="en-US" w:eastAsia="zh-CN"/>
        </w:rPr>
        <w:t>Sodium azide is an HRP inhibitor, so avoid using it as a preservative in the buffer.</w:t>
      </w:r>
    </w:p>
    <w:p w14:paraId="146FC4D4">
      <w:pPr>
        <w:numPr>
          <w:ilvl w:val="0"/>
          <w:numId w:val="2"/>
        </w:numPr>
        <w:bidi w:val="0"/>
        <w:ind w:left="0" w:leftChars="0" w:firstLine="560" w:firstLineChars="200"/>
        <w:rPr>
          <w:rFonts w:hint="eastAsia"/>
          <w:lang w:val="en-US" w:eastAsia="zh-CN"/>
        </w:rPr>
      </w:pPr>
      <w:r>
        <w:rPr>
          <w:rFonts w:hint="eastAsia"/>
          <w:lang w:val="en-US" w:eastAsia="zh-CN"/>
        </w:rPr>
        <w:t>Ensure the blotting membrane remains wet throughout the entire immunoblotting experiment, and avoid allowing it to dry.</w:t>
      </w:r>
    </w:p>
    <w:p w14:paraId="496BD17B">
      <w:pPr>
        <w:numPr>
          <w:ilvl w:val="0"/>
          <w:numId w:val="2"/>
        </w:numPr>
        <w:bidi w:val="0"/>
        <w:ind w:left="0" w:leftChars="0" w:firstLine="560" w:firstLineChars="200"/>
        <w:rPr>
          <w:rFonts w:hint="eastAsia"/>
          <w:lang w:val="en-US" w:eastAsia="zh-CN"/>
        </w:rPr>
      </w:pPr>
      <w:r>
        <w:rPr>
          <w:rFonts w:hint="eastAsia"/>
          <w:lang w:val="en-US" w:eastAsia="zh-CN"/>
        </w:rPr>
        <w:t>To achieve optimal experimental results, use a shaker during the antibody incubation and membrane washing steps.</w:t>
      </w:r>
    </w:p>
    <w:p w14:paraId="34B39B94">
      <w:pPr>
        <w:numPr>
          <w:ilvl w:val="0"/>
          <w:numId w:val="2"/>
        </w:numPr>
        <w:bidi w:val="0"/>
        <w:ind w:left="0" w:leftChars="0" w:firstLine="560" w:firstLineChars="200"/>
        <w:rPr>
          <w:rFonts w:hint="eastAsia"/>
          <w:lang w:val="en-US" w:eastAsia="zh-CN"/>
        </w:rPr>
      </w:pPr>
      <w:r>
        <w:rPr>
          <w:rFonts w:hint="eastAsia"/>
          <w:lang w:val="en-US" w:eastAsia="zh-CN"/>
        </w:rPr>
        <w:t>Always wear gloves or use clean tweezers when handling the membrane to prevent protein contamination.</w:t>
      </w:r>
    </w:p>
    <w:p w14:paraId="0B98AD1D">
      <w:pPr>
        <w:numPr>
          <w:ilvl w:val="0"/>
          <w:numId w:val="2"/>
        </w:numPr>
        <w:bidi w:val="0"/>
        <w:ind w:left="0" w:leftChars="0" w:firstLine="560" w:firstLineChars="200"/>
        <w:rPr>
          <w:rFonts w:hint="eastAsia"/>
          <w:lang w:val="en-US" w:eastAsia="zh-CN"/>
        </w:rPr>
      </w:pPr>
      <w:r>
        <w:rPr>
          <w:rFonts w:hint="eastAsia"/>
          <w:lang w:val="en-US" w:eastAsia="zh-CN"/>
        </w:rPr>
        <w:t>Under light-protected c</w:t>
      </w:r>
      <w:r>
        <w:rPr>
          <w:rFonts w:hint="eastAsia"/>
          <w:lang w:val="en-US" w:eastAsia="zh-CN"/>
        </w:rPr>
        <w:drawing>
          <wp:anchor distT="0" distB="0" distL="114300" distR="114300" simplePos="0" relativeHeight="251664384"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rFonts w:hint="eastAsia"/>
          <w:lang w:val="en-US" w:eastAsia="zh-CN"/>
        </w:rPr>
        <w:t>onditions, the prepared chemiluminescent detection substrate working solution remains stable at</w:t>
      </w:r>
      <w:bookmarkStart w:id="0" w:name="_GoBack"/>
      <w:bookmarkEnd w:id="0"/>
      <w:r>
        <w:rPr>
          <w:rFonts w:hint="eastAsia"/>
          <w:lang w:val="en-US" w:eastAsia="zh-CN"/>
        </w:rPr>
        <w:t xml:space="preserve"> room temperature for up to 8 hours. Exposure to sunlight or other strong light will affect the solution. For best results, prepare the working solution in a brown bottle to prevent prolonged exposure to strong light. Short-term exposure to normal laboratory lighting does not affect the solution's performance.</w:t>
      </w:r>
    </w:p>
    <w:p w14:paraId="0A49AAF7">
      <w:pPr>
        <w:numPr>
          <w:ilvl w:val="0"/>
          <w:numId w:val="2"/>
        </w:numPr>
        <w:bidi w:val="0"/>
        <w:ind w:left="0" w:leftChars="0" w:firstLine="560" w:firstLineChars="200"/>
        <w:rPr>
          <w:rFonts w:hint="default"/>
          <w:lang w:val="en-US" w:eastAsia="zh-CN"/>
        </w:rPr>
      </w:pPr>
      <w:r>
        <w:rPr>
          <w:rFonts w:hint="eastAsia"/>
          <w:lang w:val="en-US" w:eastAsia="zh-CN"/>
        </w:rPr>
        <w:t>After approximately 3 minutes of incubation with the luminescent working solution, the membrane bands will emit light. Do not rely solely on visual observation to judge luminescence duration. Fluorescence that is invisible to the naked eye can persist for several hours. Weak bands may require an exposure time of 1-10 hours. If the bands are unsatisfactory after exposure, wash the membrane with washing buffer, re-incubate with the secondary antibody, and repeat the luminescent detection and exposure using ECL.</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B99CD3"/>
    <w:multiLevelType w:val="singleLevel"/>
    <w:tmpl w:val="9BB99CD3"/>
    <w:lvl w:ilvl="0" w:tentative="0">
      <w:start w:val="1"/>
      <w:numFmt w:val="decimal"/>
      <w:suff w:val="nothing"/>
      <w:lvlText w:val="%1．"/>
      <w:lvlJc w:val="left"/>
      <w:pPr>
        <w:ind w:left="0" w:firstLine="400"/>
      </w:pPr>
      <w:rPr>
        <w:rFonts w:hint="default"/>
      </w:rPr>
    </w:lvl>
  </w:abstractNum>
  <w:abstractNum w:abstractNumId="1">
    <w:nsid w:val="03BB4C03"/>
    <w:multiLevelType w:val="singleLevel"/>
    <w:tmpl w:val="03BB4C03"/>
    <w:lvl w:ilvl="0" w:tentative="0">
      <w:start w:val="1"/>
      <w:numFmt w:val="decimal"/>
      <w:suff w:val="nothing"/>
      <w:lvlText w:val="%1．"/>
      <w:lvlJc w:val="left"/>
      <w:pPr>
        <w:ind w:left="0" w:firstLine="4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4855607"/>
    <w:rsid w:val="02BE1F43"/>
    <w:rsid w:val="05291528"/>
    <w:rsid w:val="07F67F51"/>
    <w:rsid w:val="091B6A42"/>
    <w:rsid w:val="11251C90"/>
    <w:rsid w:val="185976A7"/>
    <w:rsid w:val="197C38F4"/>
    <w:rsid w:val="1DB73C54"/>
    <w:rsid w:val="20BC05DF"/>
    <w:rsid w:val="26424874"/>
    <w:rsid w:val="2C7D19DB"/>
    <w:rsid w:val="2F586FE4"/>
    <w:rsid w:val="31FD4C4F"/>
    <w:rsid w:val="328A3ED9"/>
    <w:rsid w:val="33232268"/>
    <w:rsid w:val="389A471E"/>
    <w:rsid w:val="38EC0CA5"/>
    <w:rsid w:val="3C8E4865"/>
    <w:rsid w:val="422F0C86"/>
    <w:rsid w:val="44855607"/>
    <w:rsid w:val="44FB1821"/>
    <w:rsid w:val="455A5ECB"/>
    <w:rsid w:val="459B56C8"/>
    <w:rsid w:val="472B158B"/>
    <w:rsid w:val="48A61938"/>
    <w:rsid w:val="4B44328C"/>
    <w:rsid w:val="4C8A07C3"/>
    <w:rsid w:val="52050E33"/>
    <w:rsid w:val="524F1A19"/>
    <w:rsid w:val="52F872BE"/>
    <w:rsid w:val="538E7855"/>
    <w:rsid w:val="56E056BE"/>
    <w:rsid w:val="577E783D"/>
    <w:rsid w:val="57D625C6"/>
    <w:rsid w:val="5A7622F9"/>
    <w:rsid w:val="66DB666F"/>
    <w:rsid w:val="67966E2F"/>
    <w:rsid w:val="68442359"/>
    <w:rsid w:val="6AEB66F0"/>
    <w:rsid w:val="6E73507C"/>
    <w:rsid w:val="70292014"/>
    <w:rsid w:val="7A0C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bidi w:val="0"/>
      <w:spacing w:line="360" w:lineRule="auto"/>
      <w:jc w:val="left"/>
    </w:pPr>
    <w:rPr>
      <w:rFonts w:ascii="Times New Roman" w:hAnsi="Times New Roman" w:eastAsia="微软雅黑" w:cs="Times New Roman"/>
      <w:kern w:val="2"/>
      <w:sz w:val="28"/>
      <w:szCs w:val="24"/>
      <w:lang w:val="en-US" w:eastAsia="zh-CN" w:bidi="ar-SA"/>
    </w:rPr>
  </w:style>
  <w:style w:type="paragraph" w:styleId="2">
    <w:name w:val="heading 1"/>
    <w:basedOn w:val="1"/>
    <w:next w:val="1"/>
    <w:link w:val="19"/>
    <w:autoRedefine/>
    <w:qFormat/>
    <w:uiPriority w:val="0"/>
    <w:pPr>
      <w:spacing w:beforeAutospacing="0" w:after="0" w:afterAutospacing="0"/>
      <w:jc w:val="left"/>
      <w:outlineLvl w:val="0"/>
    </w:pPr>
    <w:rPr>
      <w:rFonts w:cs="宋体"/>
      <w:b/>
      <w:bCs/>
      <w:kern w:val="44"/>
      <w:sz w:val="32"/>
      <w:szCs w:val="48"/>
      <w:lang w:bidi="ar"/>
    </w:rPr>
  </w:style>
  <w:style w:type="paragraph" w:styleId="3">
    <w:name w:val="heading 2"/>
    <w:basedOn w:val="1"/>
    <w:next w:val="1"/>
    <w:link w:val="13"/>
    <w:unhideWhenUsed/>
    <w:qFormat/>
    <w:uiPriority w:val="0"/>
    <w:pPr>
      <w:keepNext/>
      <w:keepLines/>
      <w:spacing w:beforeLines="0" w:beforeAutospacing="0" w:afterLines="0" w:afterAutospacing="0" w:line="360" w:lineRule="auto"/>
      <w:jc w:val="left"/>
      <w:outlineLvl w:val="1"/>
    </w:pPr>
    <w:rPr>
      <w:rFonts w:ascii="Times New Roman" w:hAnsi="Times New Roman"/>
      <w:b/>
      <w:sz w:val="30"/>
    </w:rPr>
  </w:style>
  <w:style w:type="paragraph" w:styleId="4">
    <w:name w:val="heading 3"/>
    <w:basedOn w:val="1"/>
    <w:next w:val="1"/>
    <w:link w:val="14"/>
    <w:semiHidden/>
    <w:unhideWhenUsed/>
    <w:qFormat/>
    <w:uiPriority w:val="0"/>
    <w:pPr>
      <w:spacing w:before="0" w:beforeAutospacing="0" w:after="0" w:afterAutospacing="0"/>
      <w:jc w:val="left"/>
      <w:outlineLvl w:val="2"/>
    </w:pPr>
    <w:rPr>
      <w:rFonts w:hint="eastAsia" w:ascii="Times New Roman" w:hAnsi="Times New Roman" w:cs="宋体"/>
      <w:b/>
      <w:bCs/>
      <w:kern w:val="0"/>
      <w:sz w:val="32"/>
      <w:szCs w:val="27"/>
      <w:lang w:bidi="ar"/>
    </w:rPr>
  </w:style>
  <w:style w:type="paragraph" w:styleId="5">
    <w:name w:val="heading 4"/>
    <w:basedOn w:val="1"/>
    <w:next w:val="1"/>
    <w:link w:val="15"/>
    <w:semiHidden/>
    <w:unhideWhenUsed/>
    <w:qFormat/>
    <w:uiPriority w:val="0"/>
    <w:pPr>
      <w:spacing w:before="0" w:beforeAutospacing="0" w:after="0" w:afterAutospacing="0"/>
      <w:jc w:val="left"/>
      <w:outlineLvl w:val="3"/>
    </w:pPr>
    <w:rPr>
      <w:rFonts w:hint="eastAsia" w:ascii="Times New Roman" w:hAnsi="Times New Roman" w:cs="宋体"/>
      <w:b/>
      <w:bCs/>
      <w:kern w:val="0"/>
      <w:sz w:val="28"/>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6"/>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customStyle="1" w:styleId="13">
    <w:name w:val="标题 2 Char"/>
    <w:link w:val="3"/>
    <w:autoRedefine/>
    <w:qFormat/>
    <w:uiPriority w:val="0"/>
    <w:rPr>
      <w:rFonts w:ascii="Times New Roman" w:hAnsi="Times New Roman" w:eastAsia="微软雅黑"/>
      <w:b/>
      <w:sz w:val="30"/>
    </w:rPr>
  </w:style>
  <w:style w:type="character" w:customStyle="1" w:styleId="14">
    <w:name w:val="标题 3 Char"/>
    <w:link w:val="4"/>
    <w:autoRedefine/>
    <w:qFormat/>
    <w:uiPriority w:val="0"/>
    <w:rPr>
      <w:rFonts w:hint="eastAsia" w:ascii="Times New Roman" w:hAnsi="Times New Roman" w:eastAsia="宋体" w:cs="宋体"/>
      <w:b/>
      <w:bCs/>
      <w:kern w:val="0"/>
      <w:sz w:val="32"/>
      <w:szCs w:val="32"/>
      <w:lang w:val="en-US" w:eastAsia="zh-CN" w:bidi="ar"/>
    </w:rPr>
  </w:style>
  <w:style w:type="character" w:customStyle="1" w:styleId="15">
    <w:name w:val="标题 4 Char"/>
    <w:link w:val="5"/>
    <w:qFormat/>
    <w:uiPriority w:val="0"/>
    <w:rPr>
      <w:rFonts w:hint="eastAsia" w:ascii="Times New Roman" w:hAnsi="Times New Roman" w:eastAsia="宋体" w:cs="宋体"/>
      <w:b/>
      <w:bCs/>
      <w:kern w:val="0"/>
      <w:sz w:val="28"/>
      <w:szCs w:val="24"/>
      <w:lang w:val="en-US" w:eastAsia="zh-CN" w:bidi="ar"/>
    </w:rPr>
  </w:style>
  <w:style w:type="character" w:customStyle="1" w:styleId="16">
    <w:name w:val="标题 6 Char"/>
    <w:link w:val="7"/>
    <w:qFormat/>
    <w:uiPriority w:val="0"/>
    <w:rPr>
      <w:rFonts w:ascii="Times New Roman" w:hAnsi="Times New Roman" w:eastAsia="宋体"/>
      <w:b/>
      <w:sz w:val="24"/>
    </w:rPr>
  </w:style>
  <w:style w:type="character" w:customStyle="1" w:styleId="17">
    <w:name w:val="样式1"/>
    <w:basedOn w:val="11"/>
    <w:autoRedefine/>
    <w:qFormat/>
    <w:uiPriority w:val="0"/>
    <w:rPr>
      <w:rFonts w:hint="eastAsia" w:ascii="Times New Roman" w:hAnsi="Times New Roman" w:eastAsia="宋体"/>
      <w:sz w:val="21"/>
      <w:lang w:val="en-US" w:eastAsia="zh-CN"/>
    </w:rPr>
  </w:style>
  <w:style w:type="character" w:customStyle="1" w:styleId="18">
    <w:name w:val="正文 Char"/>
    <w:link w:val="1"/>
    <w:qFormat/>
    <w:uiPriority w:val="0"/>
    <w:rPr>
      <w:rFonts w:ascii="Times New Roman" w:hAnsi="Times New Roman" w:eastAsia="微软雅黑" w:cs="Times New Roman"/>
      <w:kern w:val="2"/>
      <w:sz w:val="28"/>
      <w:szCs w:val="24"/>
      <w:lang w:val="en-US" w:eastAsia="zh-CN" w:bidi="ar-SA"/>
    </w:rPr>
  </w:style>
  <w:style w:type="character" w:customStyle="1" w:styleId="19">
    <w:name w:val="标题 1 Char"/>
    <w:link w:val="2"/>
    <w:qFormat/>
    <w:uiPriority w:val="0"/>
    <w:rPr>
      <w:rFonts w:hint="default" w:ascii="Times New Roman" w:hAnsi="Times New Roman" w:eastAsia="微软雅黑" w:cs="宋体"/>
      <w:b/>
      <w:bCs/>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783</Words>
  <Characters>4325</Characters>
  <Lines>0</Lines>
  <Paragraphs>0</Paragraphs>
  <TotalTime>4</TotalTime>
  <ScaleCrop>false</ScaleCrop>
  <LinksUpToDate>false</LinksUpToDate>
  <CharactersWithSpaces>5087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2024-11-22T07:00:00Z</dcterms:created>
  <dc:creator>郭新悦</dc:creator>
  <cp:lastModifiedBy>维</cp:lastModifiedBy>
  <dcterms:modified xsi:type="dcterms:W3CDTF">2026-05-21T02:43:19Z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C1ECD4989B5A4A6192A3EAD614C7B648_13</vt:lpwstr>
  </property>
  <property fmtid="{D5CDD505-2E9C-101B-9397-08002B2CF9AE}" pid="4" name="KSOTemplateDocerSaveRecord">
    <vt:lpwstr>eyJoZGlkIjoiMzEwNTM5NzYwMDRjMzkwZTVkZjY2ODkwMGIxNGU0OTUiLCJ1c2VySWQiOiI5NjI0MDgyNDIifQ==</vt:lpwstr>
  </property>
</Properties>
</file>