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718C9B">
      <w:pPr>
        <w:rPr>
          <w:rFonts w:hint="eastAsia"/>
          <w:b/>
          <w:bCs/>
          <w:sz w:val="32"/>
          <w:szCs w:val="28"/>
          <w:lang w:val="en-US" w:eastAsia="zh-CN"/>
        </w:rPr>
      </w:pPr>
      <w:r>
        <w:rPr>
          <w:rFonts w:hint="eastAsia"/>
          <w:b/>
          <w:bCs/>
          <w:sz w:val="32"/>
          <w:szCs w:val="28"/>
          <w:lang w:val="en-US" w:eastAsia="zh-CN"/>
        </w:rPr>
        <w:drawing>
          <wp:anchor distT="0" distB="0" distL="114300" distR="114300" simplePos="0" relativeHeight="251659264" behindDoc="1" locked="0" layoutInCell="1" allowOverlap="1">
            <wp:simplePos x="0" y="0"/>
            <wp:positionH relativeFrom="column">
              <wp:posOffset>-1177925</wp:posOffset>
            </wp:positionH>
            <wp:positionV relativeFrom="paragraph">
              <wp:posOffset>-939800</wp:posOffset>
            </wp:positionV>
            <wp:extent cx="7686675" cy="10790555"/>
            <wp:effectExtent l="0" t="0" r="9525" b="14605"/>
            <wp:wrapNone/>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6"/>
                    <a:stretch>
                      <a:fillRect/>
                    </a:stretch>
                  </pic:blipFill>
                  <pic:spPr>
                    <a:xfrm>
                      <a:off x="0" y="0"/>
                      <a:ext cx="7686675" cy="10790555"/>
                    </a:xfrm>
                    <a:prstGeom prst="rect">
                      <a:avLst/>
                    </a:prstGeom>
                  </pic:spPr>
                </pic:pic>
              </a:graphicData>
            </a:graphic>
          </wp:anchor>
        </w:drawing>
      </w:r>
      <w:r>
        <w:rPr>
          <w:sz w:val="32"/>
        </w:rPr>
        <mc:AlternateContent>
          <mc:Choice Requires="wps">
            <w:drawing>
              <wp:anchor distT="0" distB="0" distL="114300" distR="114300" simplePos="0" relativeHeight="251660288" behindDoc="0" locked="0" layoutInCell="1" allowOverlap="1">
                <wp:simplePos x="0" y="0"/>
                <wp:positionH relativeFrom="column">
                  <wp:posOffset>-45720</wp:posOffset>
                </wp:positionH>
                <wp:positionV relativeFrom="paragraph">
                  <wp:posOffset>7013575</wp:posOffset>
                </wp:positionV>
                <wp:extent cx="5684520" cy="1828800"/>
                <wp:effectExtent l="0" t="0" r="0" b="0"/>
                <wp:wrapNone/>
                <wp:docPr id="3" name="文本框 3"/>
                <wp:cNvGraphicFramePr/>
                <a:graphic xmlns:a="http://schemas.openxmlformats.org/drawingml/2006/main">
                  <a:graphicData uri="http://schemas.microsoft.com/office/word/2010/wordprocessingShape">
                    <wps:wsp>
                      <wps:cNvSpPr txBox="1"/>
                      <wps:spPr>
                        <a:xfrm>
                          <a:off x="1097280" y="7790815"/>
                          <a:ext cx="5684520" cy="1828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249D4AB">
                            <w:pPr>
                              <w:pStyle w:val="2"/>
                              <w:bidi w:val="0"/>
                              <w:jc w:val="right"/>
                              <w:rPr>
                                <w:rFonts w:hint="eastAsia"/>
                                <w:color w:val="7030A0"/>
                                <w:sz w:val="72"/>
                                <w:szCs w:val="192"/>
                                <w:lang w:val="en-US" w:eastAsia="zh-CN"/>
                                <w14:textOutline w14:w="9525">
                                  <w14:round/>
                                </w14:textOutline>
                              </w:rPr>
                            </w:pPr>
                            <w:r>
                              <w:rPr>
                                <w:rFonts w:hint="eastAsia"/>
                                <w:color w:val="7030A0"/>
                                <w:sz w:val="72"/>
                                <w:szCs w:val="192"/>
                                <w:lang w:val="en-US" w:eastAsia="zh-CN"/>
                                <w14:textOutline w14:w="9525">
                                  <w14:round/>
                                </w14:textOutline>
                              </w:rPr>
                              <w:t>Cat No. W2102</w:t>
                            </w:r>
                          </w:p>
                          <w:p w14:paraId="251F44EE">
                            <w:pPr>
                              <w:pStyle w:val="2"/>
                              <w:bidi w:val="0"/>
                              <w:jc w:val="right"/>
                              <w:rPr>
                                <w:sz w:val="36"/>
                                <w:szCs w:val="52"/>
                                <w14:textOutline w14:w="9525">
                                  <w14:round/>
                                </w14:textOutline>
                              </w:rPr>
                            </w:pPr>
                            <w:r>
                              <w:rPr>
                                <w:rFonts w:hint="eastAsia"/>
                                <w:color w:val="7030A0"/>
                                <w:sz w:val="56"/>
                                <w:szCs w:val="112"/>
                                <w:lang w:val="en-US" w:eastAsia="zh-CN"/>
                                <w14:textOutline w14:w="9525">
                                  <w14:round/>
                                </w14:textOutline>
                              </w:rPr>
                              <w:t>U-Blot</w:t>
                            </w:r>
                            <w:r>
                              <w:rPr>
                                <w:rFonts w:hint="eastAsia"/>
                                <w:color w:val="7030A0"/>
                                <w:sz w:val="56"/>
                                <w:szCs w:val="112"/>
                                <w:vertAlign w:val="superscript"/>
                                <w:lang w:val="en-US" w:eastAsia="zh-CN"/>
                                <w14:textOutline w14:w="9525">
                                  <w14:round/>
                                </w14:textOutline>
                              </w:rPr>
                              <w:t>®</w:t>
                            </w:r>
                            <w:r>
                              <w:rPr>
                                <w:rFonts w:hint="default"/>
                                <w:color w:val="7030A0"/>
                                <w:sz w:val="56"/>
                                <w:szCs w:val="112"/>
                                <w:lang w:val="en-US" w:eastAsia="zh-CN"/>
                                <w14:textOutline w14:w="9525">
                                  <w14:round/>
                                </w14:textOutline>
                              </w:rPr>
                              <w:t xml:space="preserve"> Prestained Protein Ladder (1.7-40kDa)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552.25pt;height:144pt;width:447.6pt;z-index:251660288;mso-width-relative:page;mso-height-relative:page;" fillcolor="#FFFFFF [3201]" filled="t" stroked="f" coordsize="21600,21600" o:gfxdata="UEsDBAoAAAAAAIdO4kAAAAAAAAAAAAAAAAAEAAAAZHJzL1BLAwQUAAAACACHTuJA4NXtz9YAAAAM&#10;AQAADwAAAGRycy9kb3ducmV2LnhtbE2Py07DMBBF90j8gzVI7Fo7oYUQ4nSBxBaJtnTtxkMcYY+j&#10;2H1+PcMKlnPn6D6a1Tl4ccQpDZE0FHMFAqmLdqBew3bzNqtApGzIGh8JNVwwwaq9vWlMbeOJPvC4&#10;zr1gE0q10eByHmspU+cwmDSPIxL/vuIUTOZz6qWdzInNg5elUo8ymIE4wZkRXx123+tD0LDrw3X3&#10;WYyTs8Ev6P162WzjoPX9XaFeQGQ85z8YfutzdWi50z4eyCbhNcyeSiZZL9RiCYKJqqp43Z6lh+dy&#10;CbJt5P8R7Q9QSwMEFAAAAAgAh07iQL5hP3BeAgAAnAQAAA4AAABkcnMvZTJvRG9jLnhtbK1US27b&#10;MBDdF+gdCO4byb9YMSwHbgIXBYImgFt0TVOURYDksCRtKT1Ae4Osuum+58o5OqTsJE27yKJeyEPO&#10;0xu+NxzNzzutyF44L8GUdHCSUyIMh0qabUk/fVy9KSjxgZmKKTCipLfC0/PF61fz1s7EEBpQlXAE&#10;SYyftbakTQh2lmWeN0IzfwJWGEzW4DQLuHTbrHKsRXatsmGen2YtuMo64MJ73L3sk/TA6F5CCHUt&#10;ubgEvtPChJ7VCcUCSvKNtJ4u0mnrWvBwXddeBKJKikpDemIRjDfxmS3mbLZ1zDaSH47AXnKEZ5o0&#10;kwaLPlBdssDIzsm/qLTkDjzU4YSDznohyRFUMcifebNumBVJC1rt7YPp/v/R8g/7G0dkVdIRJYZp&#10;bPj93ff7H7/uf34jo2hPa/0MUWuLuNC9hQ4vzXHf42ZU3dVOx3/UQ2I+P5sOC7T4tqTT6VleDCa9&#10;0aILhCNgclqMJ0MEcEQMimFR5KkV2SOVdT68E6BJDErqsJPJYLa/8gGPhdAjJFb2oGS1kkqlhdtu&#10;LpQje4ZdX6VfrI+v/AFThrQlPR1N8sRsIL7f45RBeFTeK4xR6DbdwY4NVLfohoP+OnnLVxJPecV8&#10;uGEO7w8qwwkL1/ioFWAROESUNOC+/ms/4rGtmKWkxftYUv9lx5ygRL032PCzwXiMtCEtxpNpdM89&#10;zWyeZsxOXwCKH+AsW57CiA/qGNYO9GccxGWsiilmONYuaTiGF6GfEhxkLpbLBMIra1m4MmvLI3W0&#10;2sByF6CWqSXRpt6bg3t4aZPthwGLU/F0nVCPH5X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DV&#10;7c/WAAAADAEAAA8AAAAAAAAAAQAgAAAAIgAAAGRycy9kb3ducmV2LnhtbFBLAQIUABQAAAAIAIdO&#10;4kC+YT9wXgIAAJwEAAAOAAAAAAAAAAEAIAAAACUBAABkcnMvZTJvRG9jLnhtbFBLBQYAAAAABgAG&#10;AFkBAAD1BQAAAAA=&#10;">
                <v:fill on="t" focussize="0,0"/>
                <v:stroke on="f" weight="0.5pt"/>
                <v:imagedata o:title=""/>
                <o:lock v:ext="edit" aspectratio="f"/>
                <v:textbox>
                  <w:txbxContent>
                    <w:p w14:paraId="6249D4AB">
                      <w:pPr>
                        <w:pStyle w:val="2"/>
                        <w:bidi w:val="0"/>
                        <w:jc w:val="right"/>
                        <w:rPr>
                          <w:rFonts w:hint="eastAsia"/>
                          <w:color w:val="7030A0"/>
                          <w:sz w:val="72"/>
                          <w:szCs w:val="192"/>
                          <w:lang w:val="en-US" w:eastAsia="zh-CN"/>
                          <w14:textOutline w14:w="9525">
                            <w14:round/>
                          </w14:textOutline>
                        </w:rPr>
                      </w:pPr>
                      <w:r>
                        <w:rPr>
                          <w:rFonts w:hint="eastAsia"/>
                          <w:color w:val="7030A0"/>
                          <w:sz w:val="72"/>
                          <w:szCs w:val="192"/>
                          <w:lang w:val="en-US" w:eastAsia="zh-CN"/>
                          <w14:textOutline w14:w="9525">
                            <w14:round/>
                          </w14:textOutline>
                        </w:rPr>
                        <w:t>Cat No. W2102</w:t>
                      </w:r>
                    </w:p>
                    <w:p w14:paraId="251F44EE">
                      <w:pPr>
                        <w:pStyle w:val="2"/>
                        <w:bidi w:val="0"/>
                        <w:jc w:val="right"/>
                        <w:rPr>
                          <w:sz w:val="36"/>
                          <w:szCs w:val="52"/>
                          <w14:textOutline w14:w="9525">
                            <w14:round/>
                          </w14:textOutline>
                        </w:rPr>
                      </w:pPr>
                      <w:r>
                        <w:rPr>
                          <w:rFonts w:hint="eastAsia"/>
                          <w:color w:val="7030A0"/>
                          <w:sz w:val="56"/>
                          <w:szCs w:val="112"/>
                          <w:lang w:val="en-US" w:eastAsia="zh-CN"/>
                          <w14:textOutline w14:w="9525">
                            <w14:round/>
                          </w14:textOutline>
                        </w:rPr>
                        <w:t>U-Blot</w:t>
                      </w:r>
                      <w:r>
                        <w:rPr>
                          <w:rFonts w:hint="eastAsia"/>
                          <w:color w:val="7030A0"/>
                          <w:sz w:val="56"/>
                          <w:szCs w:val="112"/>
                          <w:vertAlign w:val="superscript"/>
                          <w:lang w:val="en-US" w:eastAsia="zh-CN"/>
                          <w14:textOutline w14:w="9525">
                            <w14:round/>
                          </w14:textOutline>
                        </w:rPr>
                        <w:t>®</w:t>
                      </w:r>
                      <w:r>
                        <w:rPr>
                          <w:rFonts w:hint="default"/>
                          <w:color w:val="7030A0"/>
                          <w:sz w:val="56"/>
                          <w:szCs w:val="112"/>
                          <w:lang w:val="en-US" w:eastAsia="zh-CN"/>
                          <w14:textOutline w14:w="9525">
                            <w14:round/>
                          </w14:textOutline>
                        </w:rPr>
                        <w:t xml:space="preserve"> Prestained Protein Ladder (1.7-40kDa)</w:t>
                      </w:r>
                    </w:p>
                  </w:txbxContent>
                </v:textbox>
              </v:shape>
            </w:pict>
          </mc:Fallback>
        </mc:AlternateContent>
      </w:r>
      <w:r>
        <w:rPr>
          <w:rFonts w:hint="eastAsia"/>
          <w:b/>
          <w:bCs/>
          <w:sz w:val="32"/>
          <w:szCs w:val="28"/>
          <w:lang w:val="en-US" w:eastAsia="zh-CN"/>
        </w:rPr>
        <w:br w:type="page"/>
      </w:r>
    </w:p>
    <w:p w14:paraId="41DDB530">
      <w:pPr>
        <w:bidi w:val="0"/>
        <w:ind w:firstLine="560" w:firstLineChars="200"/>
        <w:rPr>
          <w:rFonts w:hint="eastAsia"/>
          <w:lang w:val="en-US" w:eastAsia="zh-CN"/>
        </w:rPr>
      </w:pPr>
      <w:r>
        <w:rPr>
          <w:rFonts w:hint="eastAsia"/>
          <w:lang w:val="en-US" w:eastAsia="zh-CN"/>
        </w:rPr>
        <w:drawing>
          <wp:anchor distT="0" distB="0" distL="114300" distR="114300" simplePos="0" relativeHeight="251661312" behindDoc="1" locked="0" layoutInCell="1" allowOverlap="1">
            <wp:simplePos x="0" y="0"/>
            <wp:positionH relativeFrom="column">
              <wp:posOffset>-1151255</wp:posOffset>
            </wp:positionH>
            <wp:positionV relativeFrom="paragraph">
              <wp:posOffset>-909955</wp:posOffset>
            </wp:positionV>
            <wp:extent cx="7578090" cy="10703560"/>
            <wp:effectExtent l="0" t="0" r="11430" b="10160"/>
            <wp:wrapNone/>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7"/>
                    <a:stretch>
                      <a:fillRect/>
                    </a:stretch>
                  </pic:blipFill>
                  <pic:spPr>
                    <a:xfrm>
                      <a:off x="0" y="0"/>
                      <a:ext cx="7578090" cy="10703560"/>
                    </a:xfrm>
                    <a:prstGeom prst="rect">
                      <a:avLst/>
                    </a:prstGeom>
                  </pic:spPr>
                </pic:pic>
              </a:graphicData>
            </a:graphic>
          </wp:anchor>
        </w:drawing>
      </w:r>
    </w:p>
    <w:p w14:paraId="374B1C1A">
      <w:pPr>
        <w:bidi w:val="0"/>
        <w:ind w:firstLine="560" w:firstLineChars="200"/>
        <w:rPr>
          <w:rFonts w:hint="default"/>
          <w:lang w:val="en-US" w:eastAsia="zh-CN"/>
        </w:rPr>
      </w:pPr>
      <w:r>
        <w:rPr>
          <w:rFonts w:hint="eastAsia"/>
          <w:lang w:val="en-US" w:eastAsia="zh-CN"/>
        </w:rPr>
        <w:t>U-Blot</w:t>
      </w:r>
      <w:r>
        <w:rPr>
          <w:rFonts w:hint="eastAsia"/>
          <w:vertAlign w:val="superscript"/>
          <w:lang w:val="en-US" w:eastAsia="zh-CN"/>
        </w:rPr>
        <w:t>®</w:t>
      </w:r>
      <w:r>
        <w:rPr>
          <w:rFonts w:hint="default"/>
          <w:vertAlign w:val="superscript"/>
          <w:lang w:val="en-US" w:eastAsia="zh-CN"/>
        </w:rPr>
        <w:t xml:space="preserve"> </w:t>
      </w:r>
      <w:r>
        <w:rPr>
          <w:rFonts w:hint="default"/>
          <w:lang w:val="en-US" w:eastAsia="zh-CN"/>
        </w:rPr>
        <w:t>Prestained Protein Ladder (1.7-40kDa)</w:t>
      </w:r>
      <w:r>
        <w:rPr>
          <w:rFonts w:hint="eastAsia"/>
          <w:lang w:val="en-US" w:eastAsia="zh-CN"/>
        </w:rPr>
        <w:t xml:space="preserve"> </w:t>
      </w:r>
      <w:r>
        <w:rPr>
          <w:rFonts w:hint="default"/>
        </w:rPr>
        <w:t>contains six highly purified and prestained recombinant proteins ranging from 1.7 kDa to 40 kDa (1.7, 4.6, 10, 15, 25, and 40 kDa). Among these, the 40 kDa band is orange-red, and the 10 kDa band is green. This standard is suitable for use as a protein molecular weight marker in SDS-PAGE and Western ELISA applications.</w:t>
      </w:r>
    </w:p>
    <w:p w14:paraId="0CBF61B0">
      <w:pPr>
        <w:pStyle w:val="3"/>
        <w:bidi w:val="0"/>
        <w:rPr>
          <w:rFonts w:hint="default"/>
          <w:lang w:val="en-US" w:eastAsia="zh-CN"/>
        </w:rPr>
      </w:pPr>
      <w:r>
        <w:rPr>
          <w:rFonts w:hint="default"/>
          <w:lang w:val="en-US" w:eastAsia="zh-CN"/>
        </w:rPr>
        <w:t>Applications</w:t>
      </w:r>
    </w:p>
    <w:p w14:paraId="14BBED31">
      <w:pPr>
        <w:bidi w:val="0"/>
        <w:ind w:firstLine="560" w:firstLineChars="200"/>
        <w:rPr>
          <w:rFonts w:hint="default"/>
          <w:lang w:val="en-US" w:eastAsia="zh-CN"/>
        </w:rPr>
      </w:pPr>
      <w:r>
        <w:rPr>
          <w:rFonts w:hint="default"/>
          <w:lang w:val="en-US" w:eastAsia="zh-CN"/>
        </w:rPr>
        <w:t>This color-prestained protein molecular weight standard is prepared in 1x SDS-PAGE loading buffer and can be used directly without boiling, dilut</w:t>
      </w:r>
      <w:r>
        <w:rPr>
          <w:rFonts w:hint="eastAsia"/>
          <w:lang w:val="en-US" w:eastAsia="zh-CN"/>
        </w:rPr>
        <w:t>ing</w:t>
      </w:r>
      <w:r>
        <w:rPr>
          <w:rFonts w:hint="default"/>
          <w:lang w:val="en-US" w:eastAsia="zh-CN"/>
        </w:rPr>
        <w:t xml:space="preserve"> or adding a reducing agent. Depending on the size of the loading well, typically 5-10 microliters of this color-prestained protein molecular weight standard are loaded each time (5-10 µL is sufficient for a 5x1.5</w:t>
      </w:r>
      <w:r>
        <w:rPr>
          <w:rFonts w:hint="eastAsia"/>
          <w:lang w:val="en-US" w:eastAsia="zh-CN"/>
        </w:rPr>
        <w:t xml:space="preserve"> </w:t>
      </w:r>
      <w:r>
        <w:rPr>
          <w:rFonts w:hint="default"/>
          <w:lang w:val="en-US" w:eastAsia="zh-CN"/>
        </w:rPr>
        <w:t>mm gel well). Very clear protein bands can be observed during electrophoresis, after electrophoresis, and after transfer.</w:t>
      </w:r>
    </w:p>
    <w:p w14:paraId="7A90F13E">
      <w:pPr>
        <w:pStyle w:val="3"/>
        <w:bidi w:val="0"/>
        <w:rPr>
          <w:rFonts w:hint="default"/>
          <w:lang w:val="en-US" w:eastAsia="zh-CN"/>
        </w:rPr>
      </w:pPr>
      <w:r>
        <w:rPr>
          <w:rFonts w:hint="eastAsia"/>
          <w:lang w:val="en-US" w:eastAsia="zh-CN"/>
        </w:rPr>
        <w:t xml:space="preserve">Main </w:t>
      </w:r>
      <w:r>
        <w:rPr>
          <w:rFonts w:hint="default"/>
          <w:lang w:val="en-US" w:eastAsia="zh-CN"/>
        </w:rPr>
        <w:t>Storage Buffer</w:t>
      </w:r>
    </w:p>
    <w:p w14:paraId="4AFEBB7B">
      <w:pPr>
        <w:numPr>
          <w:ilvl w:val="0"/>
          <w:numId w:val="1"/>
        </w:numPr>
        <w:bidi w:val="0"/>
        <w:ind w:left="420" w:leftChars="0" w:hanging="420" w:firstLineChars="0"/>
        <w:rPr>
          <w:rFonts w:hint="default"/>
          <w:sz w:val="24"/>
          <w:szCs w:val="22"/>
          <w:lang w:val="en-US" w:eastAsia="zh-CN"/>
        </w:rPr>
      </w:pPr>
      <w:r>
        <w:rPr>
          <w:rFonts w:hint="default"/>
          <w:sz w:val="24"/>
          <w:szCs w:val="22"/>
          <w:lang w:val="en-US" w:eastAsia="zh-CN"/>
        </w:rPr>
        <w:t>62.5 mM Tris-HPO, pH7.5</w:t>
      </w:r>
    </w:p>
    <w:p w14:paraId="4D3B4FAA">
      <w:pPr>
        <w:numPr>
          <w:ilvl w:val="0"/>
          <w:numId w:val="1"/>
        </w:numPr>
        <w:bidi w:val="0"/>
        <w:ind w:left="420" w:leftChars="0" w:hanging="420" w:firstLineChars="0"/>
        <w:rPr>
          <w:rFonts w:hint="default"/>
          <w:sz w:val="24"/>
          <w:szCs w:val="22"/>
          <w:lang w:val="en-US" w:eastAsia="zh-CN"/>
        </w:rPr>
      </w:pPr>
      <w:r>
        <w:rPr>
          <w:rFonts w:hint="default"/>
          <w:sz w:val="24"/>
          <w:szCs w:val="22"/>
          <w:lang w:val="en-US" w:eastAsia="zh-CN"/>
        </w:rPr>
        <w:t>2mM EDTA</w:t>
      </w:r>
    </w:p>
    <w:p w14:paraId="39AA4F63">
      <w:pPr>
        <w:numPr>
          <w:ilvl w:val="0"/>
          <w:numId w:val="1"/>
        </w:numPr>
        <w:bidi w:val="0"/>
        <w:ind w:left="420" w:leftChars="0" w:hanging="420" w:firstLineChars="0"/>
        <w:rPr>
          <w:rFonts w:hint="default"/>
          <w:sz w:val="24"/>
          <w:szCs w:val="22"/>
          <w:lang w:val="en-US" w:eastAsia="zh-CN"/>
        </w:rPr>
      </w:pPr>
      <w:r>
        <w:rPr>
          <w:rFonts w:hint="default"/>
          <w:sz w:val="24"/>
          <w:szCs w:val="22"/>
          <w:lang w:val="en-US" w:eastAsia="zh-CN"/>
        </w:rPr>
        <w:t>2 % (W/) SDS</w:t>
      </w:r>
    </w:p>
    <w:p w14:paraId="529CE755">
      <w:pPr>
        <w:numPr>
          <w:ilvl w:val="0"/>
          <w:numId w:val="1"/>
        </w:numPr>
        <w:bidi w:val="0"/>
        <w:ind w:left="420" w:leftChars="0" w:hanging="420" w:firstLineChars="0"/>
        <w:rPr>
          <w:rFonts w:hint="default"/>
          <w:sz w:val="24"/>
          <w:szCs w:val="22"/>
          <w:lang w:val="en-US" w:eastAsia="zh-CN"/>
        </w:rPr>
      </w:pPr>
      <w:r>
        <w:rPr>
          <w:rFonts w:hint="default"/>
          <w:sz w:val="24"/>
          <w:szCs w:val="22"/>
          <w:lang w:val="en-US" w:eastAsia="zh-CN"/>
        </w:rPr>
        <w:t>33 % (W/) Glycerol</w:t>
      </w:r>
    </w:p>
    <w:p w14:paraId="51074A9C">
      <w:pPr>
        <w:numPr>
          <w:ilvl w:val="0"/>
          <w:numId w:val="1"/>
        </w:numPr>
        <w:bidi w:val="0"/>
        <w:ind w:left="420" w:leftChars="0" w:hanging="420" w:firstLineChars="0"/>
        <w:rPr>
          <w:rFonts w:hint="default"/>
          <w:sz w:val="24"/>
          <w:szCs w:val="22"/>
          <w:lang w:val="en-US" w:eastAsia="zh-CN"/>
        </w:rPr>
      </w:pPr>
      <w:r>
        <w:rPr>
          <w:rFonts w:hint="default"/>
          <w:sz w:val="24"/>
          <w:szCs w:val="22"/>
          <w:lang w:val="en-US" w:eastAsia="zh-CN"/>
        </w:rPr>
        <w:t>5mM DTT</w:t>
      </w:r>
    </w:p>
    <w:p w14:paraId="3CCD1DAB">
      <w:pPr>
        <w:numPr>
          <w:ilvl w:val="0"/>
          <w:numId w:val="1"/>
        </w:numPr>
        <w:bidi w:val="0"/>
        <w:ind w:left="420" w:leftChars="0" w:hanging="420" w:firstLineChars="0"/>
        <w:rPr>
          <w:rFonts w:hint="default"/>
          <w:sz w:val="24"/>
          <w:szCs w:val="22"/>
          <w:lang w:val="en-US" w:eastAsia="zh-CN"/>
        </w:rPr>
      </w:pPr>
      <w:r>
        <w:rPr>
          <w:rFonts w:hint="default"/>
          <w:sz w:val="24"/>
          <w:szCs w:val="22"/>
          <w:lang w:val="en-US" w:eastAsia="zh-CN"/>
        </w:rPr>
        <w:t>0.02% (V/v) proclin300</w:t>
      </w:r>
    </w:p>
    <w:p w14:paraId="67B62966">
      <w:pPr>
        <w:bidi w:val="0"/>
        <w:rPr>
          <w:rFonts w:hint="default"/>
          <w:sz w:val="28"/>
          <w:szCs w:val="24"/>
          <w:lang w:val="en-US" w:eastAsia="zh-CN"/>
        </w:rPr>
      </w:pPr>
      <w:r>
        <w:rPr>
          <w:rFonts w:hint="eastAsia"/>
          <w:b/>
          <w:bCs/>
          <w:sz w:val="28"/>
          <w:szCs w:val="24"/>
        </w:rPr>
        <w:t>Storage and stability</w:t>
      </w:r>
      <w:r>
        <w:rPr>
          <w:rFonts w:hint="eastAsia"/>
          <w:b/>
          <w:bCs/>
          <w:sz w:val="28"/>
          <w:szCs w:val="24"/>
          <w:lang w:eastAsia="zh-CN"/>
        </w:rPr>
        <w:t>：</w:t>
      </w:r>
      <w:r>
        <w:rPr>
          <w:rFonts w:hint="default"/>
          <w:sz w:val="28"/>
          <w:szCs w:val="24"/>
          <w:lang w:val="en-US" w:eastAsia="zh-CN"/>
        </w:rPr>
        <w:t>Stable at -20℃</w:t>
      </w:r>
      <w:r>
        <w:rPr>
          <w:rFonts w:hint="eastAsia"/>
          <w:sz w:val="28"/>
          <w:szCs w:val="24"/>
          <w:lang w:val="en-US" w:eastAsia="zh-CN"/>
        </w:rPr>
        <w:t xml:space="preserve"> </w:t>
      </w:r>
      <w:r>
        <w:rPr>
          <w:rFonts w:hint="default"/>
          <w:sz w:val="28"/>
          <w:szCs w:val="24"/>
          <w:lang w:val="en-US" w:eastAsia="zh-CN"/>
        </w:rPr>
        <w:t>for 36 months ; 4℃ for 3 months; 25℃ for 4 weeks</w:t>
      </w:r>
    </w:p>
    <w:p w14:paraId="31EEF946">
      <w:pPr>
        <w:pStyle w:val="3"/>
        <w:bidi w:val="0"/>
        <w:rPr>
          <w:rFonts w:hint="default"/>
          <w:lang w:val="en-US" w:eastAsia="zh-CN"/>
        </w:rPr>
      </w:pPr>
      <w:r>
        <w:rPr>
          <w:rFonts w:hint="default"/>
          <w:lang w:val="en-US" w:eastAsia="zh-CN"/>
        </w:rPr>
        <w:t>Important Product Information</w:t>
      </w:r>
    </w:p>
    <w:p w14:paraId="2E4B9BDE">
      <w:pPr>
        <w:bidi w:val="0"/>
        <w:ind w:firstLine="560" w:firstLineChars="200"/>
        <w:rPr>
          <w:rFonts w:hint="default"/>
          <w:lang w:val="en-US" w:eastAsia="zh-CN"/>
        </w:rPr>
      </w:pPr>
      <w:r>
        <w:rPr>
          <w:rFonts w:hint="eastAsia"/>
          <w:lang w:val="en-US" w:eastAsia="zh-CN"/>
        </w:rPr>
        <w:drawing>
          <wp:anchor distT="0" distB="0" distL="114300" distR="114300" simplePos="0" relativeHeight="251662336" behindDoc="1" locked="0" layoutInCell="1" allowOverlap="1">
            <wp:simplePos x="0" y="0"/>
            <wp:positionH relativeFrom="column">
              <wp:posOffset>-1151255</wp:posOffset>
            </wp:positionH>
            <wp:positionV relativeFrom="paragraph">
              <wp:posOffset>-1306195</wp:posOffset>
            </wp:positionV>
            <wp:extent cx="7578090" cy="10703560"/>
            <wp:effectExtent l="0" t="0" r="11430" b="10160"/>
            <wp:wrapNone/>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7"/>
                    <a:stretch>
                      <a:fillRect/>
                    </a:stretch>
                  </pic:blipFill>
                  <pic:spPr>
                    <a:xfrm>
                      <a:off x="0" y="0"/>
                      <a:ext cx="7578090" cy="10703560"/>
                    </a:xfrm>
                    <a:prstGeom prst="rect">
                      <a:avLst/>
                    </a:prstGeom>
                  </pic:spPr>
                </pic:pic>
              </a:graphicData>
            </a:graphic>
          </wp:anchor>
        </w:drawing>
      </w:r>
      <w:r>
        <w:rPr>
          <w:rFonts w:hint="default"/>
          <w:lang w:val="en-US" w:eastAsia="zh-CN"/>
        </w:rPr>
        <w:t xml:space="preserve">Migration pattern of </w:t>
      </w:r>
      <w:r>
        <w:rPr>
          <w:rFonts w:hint="eastAsia"/>
          <w:lang w:val="en-US" w:eastAsia="zh-CN"/>
        </w:rPr>
        <w:t>U-Blot</w:t>
      </w:r>
      <w:r>
        <w:rPr>
          <w:rFonts w:hint="eastAsia"/>
          <w:vertAlign w:val="superscript"/>
          <w:lang w:val="en-US" w:eastAsia="zh-CN"/>
        </w:rPr>
        <w:t>®</w:t>
      </w:r>
      <w:r>
        <w:rPr>
          <w:rFonts w:hint="default"/>
        </w:rPr>
        <w:t xml:space="preserve"> </w:t>
      </w:r>
      <w:r>
        <w:rPr>
          <w:rFonts w:hint="default"/>
          <w:lang w:val="en-US" w:eastAsia="zh-CN"/>
        </w:rPr>
        <w:t>Prestained Protein Ladder (1.7-40kDa): The apparent molecular weight (kDa) of each protein has been determined by calibration against unstained protein standards in various electrophoresis buffer</w:t>
      </w:r>
      <w:r>
        <w:rPr>
          <w:rFonts w:hint="eastAsia"/>
          <w:lang w:val="en-US" w:eastAsia="zh-CN"/>
        </w:rPr>
        <w:t xml:space="preserve"> systems.</w:t>
      </w:r>
    </w:p>
    <w:p w14:paraId="797CA735">
      <w:pPr>
        <w:spacing w:line="240" w:lineRule="auto"/>
        <w:jc w:val="center"/>
        <w:rPr>
          <w:rFonts w:hint="default"/>
          <w:lang w:val="en-US" w:eastAsia="zh-CN"/>
        </w:rPr>
      </w:pPr>
      <w:r>
        <w:rPr>
          <w:rFonts w:hint="default"/>
          <w:lang w:val="en-US" w:eastAsia="zh-CN"/>
        </w:rPr>
        <w:drawing>
          <wp:inline distT="0" distB="0" distL="114300" distR="114300">
            <wp:extent cx="3368675" cy="3549015"/>
            <wp:effectExtent l="0" t="0" r="14605" b="1905"/>
            <wp:docPr id="1" name="图片 1" descr="{8005DEC3-9C21-4606-804B-76163D9BF3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005DEC3-9C21-4606-804B-76163D9BF38A}"/>
                    <pic:cNvPicPr>
                      <a:picLocks noChangeAspect="1"/>
                    </pic:cNvPicPr>
                  </pic:nvPicPr>
                  <pic:blipFill>
                    <a:blip r:embed="rId8"/>
                    <a:stretch>
                      <a:fillRect/>
                    </a:stretch>
                  </pic:blipFill>
                  <pic:spPr>
                    <a:xfrm>
                      <a:off x="0" y="0"/>
                      <a:ext cx="3368675" cy="3549015"/>
                    </a:xfrm>
                    <a:prstGeom prst="rect">
                      <a:avLst/>
                    </a:prstGeom>
                  </pic:spPr>
                </pic:pic>
              </a:graphicData>
            </a:graphic>
          </wp:inline>
        </w:drawing>
      </w:r>
    </w:p>
    <w:p w14:paraId="134E0FDB">
      <w:pPr>
        <w:pStyle w:val="3"/>
        <w:bidi w:val="0"/>
        <w:rPr>
          <w:rFonts w:hint="default"/>
          <w:lang w:val="en-US" w:eastAsia="zh-CN"/>
        </w:rPr>
      </w:pPr>
      <w:r>
        <w:rPr>
          <w:rFonts w:hint="default"/>
          <w:lang w:val="en-US" w:eastAsia="zh-CN"/>
        </w:rPr>
        <w:t>Instructions for use</w:t>
      </w:r>
    </w:p>
    <w:p w14:paraId="058B5ECB">
      <w:pPr>
        <w:keepNext w:val="0"/>
        <w:keepLines w:val="0"/>
        <w:pageBreakBefore w:val="0"/>
        <w:widowControl w:val="0"/>
        <w:numPr>
          <w:ilvl w:val="0"/>
          <w:numId w:val="2"/>
        </w:numPr>
        <w:kinsoku/>
        <w:wordWrap/>
        <w:overflowPunct/>
        <w:topLinePunct w:val="0"/>
        <w:autoSpaceDE/>
        <w:autoSpaceDN/>
        <w:bidi w:val="0"/>
        <w:adjustRightInd/>
        <w:snapToGrid/>
        <w:ind w:left="0" w:leftChars="0" w:firstLine="560" w:firstLineChars="200"/>
        <w:textAlignment w:val="auto"/>
      </w:pPr>
      <w:r>
        <w:t>This product is ready-to-use. Before adding the sample, place it at room temperature for a few minutes to thaw, then gently shake to ensure the solution is evenly mixed. (Please do not boil, dilute, or add reducing agents.)</w:t>
      </w:r>
    </w:p>
    <w:p w14:paraId="51920FED">
      <w:pPr>
        <w:keepNext w:val="0"/>
        <w:keepLines w:val="0"/>
        <w:pageBreakBefore w:val="0"/>
        <w:widowControl w:val="0"/>
        <w:numPr>
          <w:ilvl w:val="0"/>
          <w:numId w:val="2"/>
        </w:numPr>
        <w:kinsoku/>
        <w:wordWrap/>
        <w:overflowPunct/>
        <w:topLinePunct w:val="0"/>
        <w:autoSpaceDE/>
        <w:autoSpaceDN/>
        <w:bidi w:val="0"/>
        <w:adjustRightInd/>
        <w:snapToGrid/>
        <w:ind w:left="0" w:leftChars="0" w:firstLine="560" w:firstLineChars="200"/>
        <w:textAlignment w:val="auto"/>
      </w:pPr>
      <w:r>
        <w:t>Take 5 μL of the sample and load it into the gel wells for polyacrylamide gel electrophoresis (</w:t>
      </w:r>
      <w:r>
        <w:rPr>
          <w:rFonts w:hint="eastAsia"/>
          <w:lang w:val="en-US" w:eastAsia="zh-CN"/>
        </w:rPr>
        <w:t xml:space="preserve"> </w:t>
      </w:r>
      <w:r>
        <w:t>if the well is wide, the sample volume can be increased accordingly</w:t>
      </w:r>
      <w:r>
        <w:rPr>
          <w:rFonts w:hint="eastAsia"/>
          <w:lang w:val="en-US" w:eastAsia="zh-CN"/>
        </w:rPr>
        <w:t xml:space="preserve"> </w:t>
      </w:r>
      <w:r>
        <w:t xml:space="preserve">). It is recommended that </w:t>
      </w:r>
    </w:p>
    <w:p w14:paraId="38F182E7">
      <w:pPr>
        <w:keepNext w:val="0"/>
        <w:keepLines w:val="0"/>
        <w:pageBreakBefore w:val="0"/>
        <w:widowControl w:val="0"/>
        <w:numPr>
          <w:numId w:val="0"/>
        </w:numPr>
        <w:kinsoku/>
        <w:wordWrap/>
        <w:overflowPunct/>
        <w:topLinePunct w:val="0"/>
        <w:autoSpaceDE/>
        <w:autoSpaceDN/>
        <w:bidi w:val="0"/>
        <w:adjustRightInd/>
        <w:snapToGrid/>
        <w:ind w:leftChars="0"/>
        <w:textAlignment w:val="auto"/>
      </w:pPr>
      <w:bookmarkStart w:id="0" w:name="_GoBack"/>
      <w:r>
        <w:rPr>
          <w:rFonts w:hint="eastAsia"/>
          <w:lang w:val="en-US" w:eastAsia="zh-CN"/>
        </w:rPr>
        <w:drawing>
          <wp:anchor distT="0" distB="0" distL="114300" distR="114300" simplePos="0" relativeHeight="251663360" behindDoc="1" locked="0" layoutInCell="1" allowOverlap="1">
            <wp:simplePos x="0" y="0"/>
            <wp:positionH relativeFrom="column">
              <wp:posOffset>-1151255</wp:posOffset>
            </wp:positionH>
            <wp:positionV relativeFrom="paragraph">
              <wp:posOffset>-909955</wp:posOffset>
            </wp:positionV>
            <wp:extent cx="7578090" cy="10703560"/>
            <wp:effectExtent l="0" t="0" r="11430" b="10160"/>
            <wp:wrapNone/>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7"/>
                    <a:stretch>
                      <a:fillRect/>
                    </a:stretch>
                  </pic:blipFill>
                  <pic:spPr>
                    <a:xfrm>
                      <a:off x="0" y="0"/>
                      <a:ext cx="7578090" cy="10703560"/>
                    </a:xfrm>
                    <a:prstGeom prst="rect">
                      <a:avLst/>
                    </a:prstGeom>
                  </pic:spPr>
                </pic:pic>
              </a:graphicData>
            </a:graphic>
          </wp:anchor>
        </w:drawing>
      </w:r>
      <w:bookmarkEnd w:id="0"/>
    </w:p>
    <w:p w14:paraId="203CB96D">
      <w:pPr>
        <w:keepNext w:val="0"/>
        <w:keepLines w:val="0"/>
        <w:pageBreakBefore w:val="0"/>
        <w:widowControl w:val="0"/>
        <w:numPr>
          <w:numId w:val="0"/>
        </w:numPr>
        <w:kinsoku/>
        <w:wordWrap/>
        <w:overflowPunct/>
        <w:topLinePunct w:val="0"/>
        <w:autoSpaceDE/>
        <w:autoSpaceDN/>
        <w:bidi w:val="0"/>
        <w:adjustRightInd/>
        <w:snapToGrid/>
        <w:ind w:leftChars="0"/>
        <w:textAlignment w:val="auto"/>
      </w:pPr>
      <w:r>
        <w:t>laboratories determine the appropriate sample volume through preliminary experiments based on their specific experimental conditions and preferences, especially when using this product for the first time, to save costs and achieve better experimental results.</w:t>
      </w:r>
    </w:p>
    <w:p w14:paraId="158212A6">
      <w:pPr>
        <w:keepNext w:val="0"/>
        <w:keepLines w:val="0"/>
        <w:pageBreakBefore w:val="0"/>
        <w:widowControl w:val="0"/>
        <w:numPr>
          <w:ilvl w:val="0"/>
          <w:numId w:val="2"/>
        </w:numPr>
        <w:kinsoku/>
        <w:wordWrap/>
        <w:overflowPunct/>
        <w:topLinePunct w:val="0"/>
        <w:autoSpaceDE/>
        <w:autoSpaceDN/>
        <w:bidi w:val="0"/>
        <w:adjustRightInd/>
        <w:snapToGrid/>
        <w:ind w:left="0" w:leftChars="0" w:firstLine="560" w:firstLineChars="200"/>
        <w:jc w:val="left"/>
        <w:textAlignment w:val="auto"/>
      </w:pPr>
      <w:r>
        <w:t>For frequent use, store at 2–8°C with a shelf life of 3 months. It is</w:t>
      </w:r>
      <w:r>
        <w:rPr>
          <w:rFonts w:hint="eastAsia"/>
          <w:lang w:val="en-US" w:eastAsia="zh-CN"/>
        </w:rPr>
        <w:t xml:space="preserve"> </w:t>
      </w:r>
      <w:r>
        <w:t>recommended to store in aliquots to avoid repeated thawing.</w:t>
      </w:r>
    </w:p>
    <w:p w14:paraId="5AA8BA8C">
      <w:pPr>
        <w:pStyle w:val="3"/>
        <w:bidi w:val="0"/>
      </w:pPr>
      <w:r>
        <w:rPr>
          <w:rFonts w:hint="eastAsia"/>
          <w:lang w:val="en-US" w:eastAsia="zh-CN"/>
        </w:rPr>
        <w:t>Tech notes</w:t>
      </w:r>
    </w:p>
    <w:p w14:paraId="2EE5BDD0">
      <w:pPr>
        <w:numPr>
          <w:ilvl w:val="0"/>
          <w:numId w:val="3"/>
        </w:numPr>
        <w:bidi w:val="0"/>
        <w:ind w:left="0" w:leftChars="0" w:firstLine="560" w:firstLineChars="200"/>
      </w:pPr>
      <w:r>
        <w:t>Pay attention to the electrophoresis time; low molecular weight star proteins may migrate off the front of the protein gel.</w:t>
      </w:r>
    </w:p>
    <w:p w14:paraId="32227685">
      <w:pPr>
        <w:numPr>
          <w:ilvl w:val="0"/>
          <w:numId w:val="3"/>
        </w:numPr>
        <w:bidi w:val="0"/>
        <w:ind w:left="0" w:leftChars="0" w:firstLine="560" w:firstLineChars="200"/>
        <w:rPr>
          <w:b/>
          <w:bCs/>
        </w:rPr>
      </w:pPr>
      <w:r>
        <w:t>Be mindful of the specificity of small molecules when performing Western blotting, especially for bands smaller than 3 kDa, as they may pass through the membrane.</w:t>
      </w:r>
    </w:p>
    <w:p w14:paraId="534C6014">
      <w:pPr>
        <w:numPr>
          <w:numId w:val="0"/>
        </w:numPr>
        <w:bidi w:val="0"/>
        <w:ind w:firstLine="480" w:firstLineChars="200"/>
        <w:rPr>
          <w:b/>
          <w:bCs/>
          <w:sz w:val="24"/>
          <w:szCs w:val="22"/>
        </w:rPr>
      </w:pPr>
      <w:r>
        <w:rPr>
          <w:b/>
          <w:bCs/>
          <w:sz w:val="24"/>
          <w:szCs w:val="22"/>
        </w:rPr>
        <w:t>Additionally, it is recommended not to add SDS to the transfer buffer. If it must be used, the SDS concentration should not exceed 0.02-0.04%.</w:t>
      </w:r>
    </w:p>
    <w:p w14:paraId="126622B8">
      <w:pPr>
        <w:numPr>
          <w:ilvl w:val="0"/>
          <w:numId w:val="3"/>
        </w:numPr>
        <w:bidi w:val="0"/>
        <w:ind w:left="0" w:leftChars="0" w:firstLine="560" w:firstLineChars="200"/>
        <w:rPr>
          <w:lang w:val="en-US" w:eastAsia="zh-CN"/>
        </w:rPr>
      </w:pPr>
      <w:r>
        <w:rPr>
          <w:lang w:val="en-US" w:eastAsia="zh-CN"/>
        </w:rPr>
        <w:t>Prestained proteins exhibit different apparent molecular weights in different buffer systems. If the buffer system is calibrated with non-prestained proteins beforehand, the protein molecular weight can be roughly determined.</w:t>
      </w:r>
    </w:p>
    <w:p w14:paraId="3DB9B9A9">
      <w:pPr>
        <w:bidi w:val="0"/>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EE7D60"/>
    <w:multiLevelType w:val="singleLevel"/>
    <w:tmpl w:val="9EEE7D60"/>
    <w:lvl w:ilvl="0" w:tentative="0">
      <w:start w:val="1"/>
      <w:numFmt w:val="decimal"/>
      <w:suff w:val="nothing"/>
      <w:lvlText w:val="%1．"/>
      <w:lvlJc w:val="left"/>
      <w:pPr>
        <w:ind w:left="0" w:firstLine="400"/>
      </w:pPr>
      <w:rPr>
        <w:rFonts w:hint="default"/>
      </w:rPr>
    </w:lvl>
  </w:abstractNum>
  <w:abstractNum w:abstractNumId="1">
    <w:nsid w:val="A31ADCDA"/>
    <w:multiLevelType w:val="singleLevel"/>
    <w:tmpl w:val="A31ADCDA"/>
    <w:lvl w:ilvl="0" w:tentative="0">
      <w:start w:val="1"/>
      <w:numFmt w:val="decimal"/>
      <w:suff w:val="nothing"/>
      <w:lvlText w:val="%1．"/>
      <w:lvlJc w:val="left"/>
      <w:pPr>
        <w:ind w:left="0" w:firstLine="400"/>
      </w:pPr>
      <w:rPr>
        <w:rFonts w:hint="default"/>
      </w:rPr>
    </w:lvl>
  </w:abstractNum>
  <w:abstractNum w:abstractNumId="2">
    <w:nsid w:val="DA1441B7"/>
    <w:multiLevelType w:val="singleLevel"/>
    <w:tmpl w:val="DA1441B7"/>
    <w:lvl w:ilvl="0" w:tentative="0">
      <w:start w:val="1"/>
      <w:numFmt w:val="bullet"/>
      <w:lvlText w:val=""/>
      <w:lvlJc w:val="left"/>
      <w:pPr>
        <w:ind w:left="420" w:hanging="420"/>
      </w:pPr>
      <w:rPr>
        <w:rFonts w:hint="default" w:ascii="Wingdings" w:hAnsi="Wingding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44855607"/>
    <w:rsid w:val="02BE1F43"/>
    <w:rsid w:val="05291528"/>
    <w:rsid w:val="07F67F51"/>
    <w:rsid w:val="091B6A42"/>
    <w:rsid w:val="11251C90"/>
    <w:rsid w:val="185976A7"/>
    <w:rsid w:val="197C38F4"/>
    <w:rsid w:val="1DB73C54"/>
    <w:rsid w:val="20BC05DF"/>
    <w:rsid w:val="26424874"/>
    <w:rsid w:val="2C7D19DB"/>
    <w:rsid w:val="2F586FE4"/>
    <w:rsid w:val="328A3ED9"/>
    <w:rsid w:val="33232268"/>
    <w:rsid w:val="389A471E"/>
    <w:rsid w:val="38EC0CA5"/>
    <w:rsid w:val="422F0C86"/>
    <w:rsid w:val="44855607"/>
    <w:rsid w:val="44FB1821"/>
    <w:rsid w:val="455A5ECB"/>
    <w:rsid w:val="459B56C8"/>
    <w:rsid w:val="472B158B"/>
    <w:rsid w:val="48A61938"/>
    <w:rsid w:val="4B44328C"/>
    <w:rsid w:val="4C8A07C3"/>
    <w:rsid w:val="52050E33"/>
    <w:rsid w:val="52F872BE"/>
    <w:rsid w:val="538E7855"/>
    <w:rsid w:val="56E056BE"/>
    <w:rsid w:val="577E783D"/>
    <w:rsid w:val="57D625C6"/>
    <w:rsid w:val="66DB666F"/>
    <w:rsid w:val="67966E2F"/>
    <w:rsid w:val="68442359"/>
    <w:rsid w:val="6AEB66F0"/>
    <w:rsid w:val="6E73507C"/>
    <w:rsid w:val="702920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8"/>
    <w:autoRedefine/>
    <w:qFormat/>
    <w:uiPriority w:val="0"/>
    <w:pPr>
      <w:widowControl w:val="0"/>
      <w:bidi w:val="0"/>
      <w:spacing w:line="360" w:lineRule="auto"/>
      <w:jc w:val="left"/>
    </w:pPr>
    <w:rPr>
      <w:rFonts w:ascii="Times New Roman" w:hAnsi="Times New Roman" w:eastAsia="微软雅黑" w:cs="Times New Roman"/>
      <w:kern w:val="2"/>
      <w:sz w:val="28"/>
      <w:szCs w:val="24"/>
      <w:lang w:val="en-US" w:eastAsia="zh-CN" w:bidi="ar-SA"/>
    </w:rPr>
  </w:style>
  <w:style w:type="paragraph" w:styleId="2">
    <w:name w:val="heading 1"/>
    <w:basedOn w:val="1"/>
    <w:next w:val="1"/>
    <w:link w:val="19"/>
    <w:autoRedefine/>
    <w:qFormat/>
    <w:uiPriority w:val="0"/>
    <w:pPr>
      <w:spacing w:beforeAutospacing="0" w:after="0" w:afterAutospacing="0"/>
      <w:jc w:val="left"/>
      <w:outlineLvl w:val="0"/>
    </w:pPr>
    <w:rPr>
      <w:rFonts w:cs="宋体"/>
      <w:b/>
      <w:bCs/>
      <w:kern w:val="44"/>
      <w:sz w:val="32"/>
      <w:szCs w:val="48"/>
      <w:lang w:bidi="ar"/>
    </w:rPr>
  </w:style>
  <w:style w:type="paragraph" w:styleId="3">
    <w:name w:val="heading 2"/>
    <w:basedOn w:val="1"/>
    <w:next w:val="1"/>
    <w:link w:val="13"/>
    <w:unhideWhenUsed/>
    <w:qFormat/>
    <w:uiPriority w:val="0"/>
    <w:pPr>
      <w:keepNext/>
      <w:keepLines/>
      <w:spacing w:beforeLines="0" w:beforeAutospacing="0" w:afterLines="0" w:afterAutospacing="0" w:line="360" w:lineRule="auto"/>
      <w:jc w:val="left"/>
      <w:outlineLvl w:val="1"/>
    </w:pPr>
    <w:rPr>
      <w:rFonts w:ascii="Times New Roman" w:hAnsi="Times New Roman"/>
      <w:b/>
      <w:sz w:val="30"/>
    </w:rPr>
  </w:style>
  <w:style w:type="paragraph" w:styleId="4">
    <w:name w:val="heading 3"/>
    <w:basedOn w:val="1"/>
    <w:next w:val="1"/>
    <w:link w:val="14"/>
    <w:semiHidden/>
    <w:unhideWhenUsed/>
    <w:qFormat/>
    <w:uiPriority w:val="0"/>
    <w:pPr>
      <w:spacing w:before="0" w:beforeAutospacing="0" w:after="0" w:afterAutospacing="0"/>
      <w:jc w:val="left"/>
      <w:outlineLvl w:val="2"/>
    </w:pPr>
    <w:rPr>
      <w:rFonts w:hint="eastAsia" w:ascii="Times New Roman" w:hAnsi="Times New Roman" w:cs="宋体"/>
      <w:b/>
      <w:bCs/>
      <w:kern w:val="0"/>
      <w:sz w:val="32"/>
      <w:szCs w:val="27"/>
      <w:lang w:bidi="ar"/>
    </w:rPr>
  </w:style>
  <w:style w:type="paragraph" w:styleId="5">
    <w:name w:val="heading 4"/>
    <w:basedOn w:val="1"/>
    <w:next w:val="1"/>
    <w:link w:val="15"/>
    <w:semiHidden/>
    <w:unhideWhenUsed/>
    <w:qFormat/>
    <w:uiPriority w:val="0"/>
    <w:pPr>
      <w:spacing w:before="0" w:beforeAutospacing="0" w:after="0" w:afterAutospacing="0"/>
      <w:jc w:val="left"/>
      <w:outlineLvl w:val="3"/>
    </w:pPr>
    <w:rPr>
      <w:rFonts w:hint="eastAsia" w:ascii="Times New Roman" w:hAnsi="Times New Roman" w:cs="宋体"/>
      <w:b/>
      <w:bCs/>
      <w:kern w:val="0"/>
      <w:sz w:val="28"/>
      <w:lang w:bidi="ar"/>
    </w:rPr>
  </w:style>
  <w:style w:type="paragraph" w:styleId="6">
    <w:name w:val="heading 5"/>
    <w:basedOn w:val="1"/>
    <w:next w:val="1"/>
    <w:semiHidden/>
    <w:unhideWhenUsed/>
    <w:qFormat/>
    <w:uiPriority w:val="0"/>
    <w:pPr>
      <w:keepNext/>
      <w:keepLines/>
      <w:spacing w:beforeLines="0" w:beforeAutospacing="0" w:afterLines="0" w:afterAutospacing="0" w:line="360" w:lineRule="auto"/>
      <w:outlineLvl w:val="4"/>
    </w:pPr>
    <w:rPr>
      <w:b/>
    </w:rPr>
  </w:style>
  <w:style w:type="paragraph" w:styleId="7">
    <w:name w:val="heading 6"/>
    <w:basedOn w:val="1"/>
    <w:next w:val="1"/>
    <w:link w:val="16"/>
    <w:semiHidden/>
    <w:unhideWhenUsed/>
    <w:qFormat/>
    <w:uiPriority w:val="0"/>
    <w:pPr>
      <w:keepNext/>
      <w:keepLines/>
      <w:spacing w:beforeLines="0" w:beforeAutospacing="0" w:afterLines="0" w:afterAutospacing="0" w:line="360" w:lineRule="auto"/>
      <w:outlineLvl w:val="5"/>
    </w:pPr>
    <w:rPr>
      <w:rFonts w:ascii="Times New Roman" w:hAnsi="Times New Roman" w:eastAsia="宋体"/>
      <w:b/>
      <w:sz w:val="24"/>
    </w:rPr>
  </w:style>
  <w:style w:type="paragraph" w:styleId="8">
    <w:name w:val="heading 7"/>
    <w:basedOn w:val="1"/>
    <w:next w:val="1"/>
    <w:semiHidden/>
    <w:unhideWhenUsed/>
    <w:qFormat/>
    <w:uiPriority w:val="0"/>
    <w:pPr>
      <w:keepNext/>
      <w:keepLines/>
      <w:spacing w:beforeLines="0" w:beforeAutospacing="0" w:afterLines="0" w:afterAutospacing="0" w:line="360" w:lineRule="auto"/>
      <w:outlineLvl w:val="6"/>
    </w:pPr>
    <w:rPr>
      <w:b/>
      <w:sz w:val="24"/>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2">
    <w:name w:val="Strong"/>
    <w:basedOn w:val="11"/>
    <w:qFormat/>
    <w:uiPriority w:val="0"/>
    <w:rPr>
      <w:b/>
    </w:rPr>
  </w:style>
  <w:style w:type="character" w:customStyle="1" w:styleId="13">
    <w:name w:val="标题 2 Char"/>
    <w:link w:val="3"/>
    <w:autoRedefine/>
    <w:qFormat/>
    <w:uiPriority w:val="0"/>
    <w:rPr>
      <w:rFonts w:ascii="Times New Roman" w:hAnsi="Times New Roman" w:eastAsia="微软雅黑"/>
      <w:b/>
      <w:sz w:val="30"/>
    </w:rPr>
  </w:style>
  <w:style w:type="character" w:customStyle="1" w:styleId="14">
    <w:name w:val="标题 3 Char"/>
    <w:link w:val="4"/>
    <w:autoRedefine/>
    <w:qFormat/>
    <w:uiPriority w:val="0"/>
    <w:rPr>
      <w:rFonts w:hint="eastAsia" w:ascii="Times New Roman" w:hAnsi="Times New Roman" w:eastAsia="宋体" w:cs="宋体"/>
      <w:b/>
      <w:bCs/>
      <w:kern w:val="0"/>
      <w:sz w:val="32"/>
      <w:szCs w:val="32"/>
      <w:lang w:val="en-US" w:eastAsia="zh-CN" w:bidi="ar"/>
    </w:rPr>
  </w:style>
  <w:style w:type="character" w:customStyle="1" w:styleId="15">
    <w:name w:val="标题 4 Char"/>
    <w:link w:val="5"/>
    <w:qFormat/>
    <w:uiPriority w:val="0"/>
    <w:rPr>
      <w:rFonts w:hint="eastAsia" w:ascii="Times New Roman" w:hAnsi="Times New Roman" w:eastAsia="宋体" w:cs="宋体"/>
      <w:b/>
      <w:bCs/>
      <w:kern w:val="0"/>
      <w:sz w:val="28"/>
      <w:szCs w:val="24"/>
      <w:lang w:val="en-US" w:eastAsia="zh-CN" w:bidi="ar"/>
    </w:rPr>
  </w:style>
  <w:style w:type="character" w:customStyle="1" w:styleId="16">
    <w:name w:val="标题 6 Char"/>
    <w:link w:val="7"/>
    <w:qFormat/>
    <w:uiPriority w:val="0"/>
    <w:rPr>
      <w:rFonts w:ascii="Times New Roman" w:hAnsi="Times New Roman" w:eastAsia="宋体"/>
      <w:b/>
      <w:sz w:val="24"/>
    </w:rPr>
  </w:style>
  <w:style w:type="character" w:customStyle="1" w:styleId="17">
    <w:name w:val="样式1"/>
    <w:basedOn w:val="11"/>
    <w:autoRedefine/>
    <w:qFormat/>
    <w:uiPriority w:val="0"/>
    <w:rPr>
      <w:rFonts w:hint="eastAsia" w:ascii="Times New Roman" w:hAnsi="Times New Roman" w:eastAsia="宋体"/>
      <w:sz w:val="21"/>
      <w:lang w:val="en-US" w:eastAsia="zh-CN"/>
    </w:rPr>
  </w:style>
  <w:style w:type="character" w:customStyle="1" w:styleId="18">
    <w:name w:val="正文 Char"/>
    <w:link w:val="1"/>
    <w:qFormat/>
    <w:uiPriority w:val="0"/>
    <w:rPr>
      <w:rFonts w:ascii="Times New Roman" w:hAnsi="Times New Roman" w:eastAsia="微软雅黑" w:cs="Times New Roman"/>
      <w:kern w:val="2"/>
      <w:sz w:val="28"/>
      <w:szCs w:val="24"/>
      <w:lang w:val="en-US" w:eastAsia="zh-CN" w:bidi="ar-SA"/>
    </w:rPr>
  </w:style>
  <w:style w:type="character" w:customStyle="1" w:styleId="19">
    <w:name w:val="标题 1 Char"/>
    <w:link w:val="2"/>
    <w:qFormat/>
    <w:uiPriority w:val="0"/>
    <w:rPr>
      <w:rFonts w:hint="default" w:ascii="Times New Roman" w:hAnsi="Times New Roman" w:eastAsia="微软雅黑" w:cs="宋体"/>
      <w:b/>
      <w:bCs/>
      <w:kern w:val="44"/>
      <w:sz w:val="32"/>
      <w:szCs w:val="48"/>
      <w:lang w:bidi="ar"/>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450</Words>
  <Characters>2431</Characters>
  <Lines>0</Lines>
  <Paragraphs>0</Paragraphs>
  <TotalTime>31</TotalTime>
  <ScaleCrop>false</ScaleCrop>
  <LinksUpToDate>false</LinksUpToDate>
  <CharactersWithSpaces>2851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2024-11-22T07:00:00Z</dcterms:created>
  <dc:creator>郭新悦</dc:creator>
  <cp:lastModifiedBy>维</cp:lastModifiedBy>
  <dcterms:modified xsi:type="dcterms:W3CDTF">2025-10-09T01:32:09Z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43F8076DD6E943569D62A4769C9BA22C_13</vt:lpwstr>
  </property>
  <property fmtid="{D5CDD505-2E9C-101B-9397-08002B2CF9AE}" pid="4" name="KSOTemplateDocerSaveRecord">
    <vt:lpwstr>eyJoZGlkIjoiMzEwNTM5NzYwMDRjMzkwZTVkZjY2ODkwMGIxNGU0OTUiLCJ1c2VySWQiOiI5NjI0MDgyNDIifQ==</vt:lpwstr>
  </property>
</Properties>
</file>