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718C9B">
      <w:pPr>
        <w:rPr>
          <w:rFonts w:hint="eastAsia"/>
          <w:b/>
          <w:bCs/>
          <w:sz w:val="32"/>
          <w:szCs w:val="28"/>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6911975</wp:posOffset>
                </wp:positionV>
                <wp:extent cx="5802630" cy="2158365"/>
                <wp:effectExtent l="0" t="0" r="3810" b="5715"/>
                <wp:wrapNone/>
                <wp:docPr id="3" name="文本框 3"/>
                <wp:cNvGraphicFramePr/>
                <a:graphic xmlns:a="http://schemas.openxmlformats.org/drawingml/2006/main">
                  <a:graphicData uri="http://schemas.microsoft.com/office/word/2010/wordprocessingShape">
                    <wps:wsp>
                      <wps:cNvSpPr txBox="1"/>
                      <wps:spPr>
                        <a:xfrm>
                          <a:off x="1097280" y="7790815"/>
                          <a:ext cx="5802630" cy="2158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eastAsia"/>
                                <w:color w:val="7030A0"/>
                                <w:sz w:val="72"/>
                                <w:szCs w:val="192"/>
                                <w:lang w:val="en-US" w:eastAsia="zh-CN"/>
                              </w:rPr>
                            </w:pPr>
                            <w:r>
                              <w:rPr>
                                <w:rFonts w:hint="eastAsia"/>
                                <w:color w:val="7030A0"/>
                                <w:sz w:val="72"/>
                                <w:szCs w:val="192"/>
                                <w:lang w:val="en-US" w:eastAsia="zh-CN"/>
                              </w:rPr>
                              <w:t>Cat No. W2101</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Prestained Protein Ladder（10-250 kDa）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544.25pt;height:169.95pt;width:456.9pt;z-index:251660288;mso-width-relative:page;mso-height-relative:page;" fillcolor="#FFFFFF [3201]" filled="t" stroked="f" coordsize="21600,21600" o:gfxdata="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q&#10;pf/WAAAADAEAAA8AAAAAAAAAAQAgAAAAIgAAAGRycy9kb3ducmV2LnhtbFBLAQIUABQAAAAIAIdO&#10;4kCJlhGVXgIAAJwEAAAOAAAAAAAAAAEAIAAAACUBAABkcnMvZTJvRG9jLnhtbFBLBQYAAAAABgAG&#10;AFkBAAD1BQAAAAA=&#10;">
                <v:fill on="t" focussize="0,0"/>
                <v:stroke on="f" weight="0.5pt"/>
                <v:imagedata o:title=""/>
                <o:lock v:ext="edit" aspectratio="f"/>
                <v:textbox>
                  <w:txbxContent>
                    <w:p w14:paraId="6249D4AB">
                      <w:pPr>
                        <w:pStyle w:val="2"/>
                        <w:keepNext w:val="0"/>
                        <w:keepLines w:val="0"/>
                        <w:pageBreakBefore w:val="0"/>
                        <w:widowControl w:val="0"/>
                        <w:kinsoku/>
                        <w:wordWrap/>
                        <w:overflowPunct/>
                        <w:topLinePunct w:val="0"/>
                        <w:bidi w:val="0"/>
                        <w:adjustRightInd/>
                        <w:snapToGrid/>
                        <w:spacing w:line="360" w:lineRule="auto"/>
                        <w:jc w:val="right"/>
                        <w:textAlignment w:val="auto"/>
                        <w:rPr>
                          <w:rFonts w:hint="eastAsia"/>
                          <w:color w:val="7030A0"/>
                          <w:sz w:val="72"/>
                          <w:szCs w:val="192"/>
                          <w:lang w:val="en-US" w:eastAsia="zh-CN"/>
                        </w:rPr>
                      </w:pPr>
                      <w:r>
                        <w:rPr>
                          <w:rFonts w:hint="eastAsia"/>
                          <w:color w:val="7030A0"/>
                          <w:sz w:val="72"/>
                          <w:szCs w:val="192"/>
                          <w:lang w:val="en-US" w:eastAsia="zh-CN"/>
                        </w:rPr>
                        <w:t>Cat No. W2101</w:t>
                      </w:r>
                    </w:p>
                    <w:p w14:paraId="251F44EE">
                      <w:pPr>
                        <w:pStyle w:val="2"/>
                        <w:keepNext w:val="0"/>
                        <w:keepLines w:val="0"/>
                        <w:pageBreakBefore w:val="0"/>
                        <w:widowControl w:val="0"/>
                        <w:kinsoku/>
                        <w:wordWrap/>
                        <w:overflowPunct/>
                        <w:topLinePunct w:val="0"/>
                        <w:bidi w:val="0"/>
                        <w:adjustRightInd/>
                        <w:snapToGrid/>
                        <w:spacing w:line="360" w:lineRule="auto"/>
                        <w:jc w:val="right"/>
                        <w:textAlignment w:val="auto"/>
                        <w:rPr>
                          <w:sz w:val="36"/>
                          <w:szCs w:val="52"/>
                        </w:rPr>
                      </w:pPr>
                      <w:r>
                        <w:rPr>
                          <w:rFonts w:hint="eastAsia"/>
                          <w:color w:val="7030A0"/>
                          <w:sz w:val="56"/>
                          <w:szCs w:val="112"/>
                          <w:lang w:val="en-US" w:eastAsia="zh-CN"/>
                        </w:rPr>
                        <w:t>U-Blot</w:t>
                      </w:r>
                      <w:r>
                        <w:rPr>
                          <w:rFonts w:hint="eastAsia"/>
                          <w:color w:val="7030A0"/>
                          <w:sz w:val="56"/>
                          <w:szCs w:val="112"/>
                          <w:vertAlign w:val="superscript"/>
                          <w:lang w:val="en-US" w:eastAsia="zh-CN"/>
                        </w:rPr>
                        <w:t>®</w:t>
                      </w:r>
                      <w:r>
                        <w:rPr>
                          <w:rFonts w:hint="default"/>
                          <w:color w:val="7030A0"/>
                          <w:sz w:val="56"/>
                          <w:szCs w:val="112"/>
                          <w:lang w:val="en-US" w:eastAsia="zh-CN"/>
                        </w:rPr>
                        <w:t xml:space="preserve"> </w:t>
                      </w:r>
                      <w:r>
                        <w:rPr>
                          <w:rFonts w:hint="eastAsia"/>
                          <w:color w:val="7030A0"/>
                          <w:sz w:val="56"/>
                          <w:szCs w:val="112"/>
                          <w:lang w:val="en-US" w:eastAsia="zh-CN"/>
                        </w:rPr>
                        <w:t>Prestained Protein Ladder（10-250 kDa）</w:t>
                      </w:r>
                    </w:p>
                  </w:txbxContent>
                </v:textbox>
              </v:shape>
            </w:pict>
          </mc:Fallback>
        </mc:AlternateContent>
      </w:r>
      <w:r>
        <w:rPr>
          <w:rFonts w:hint="eastAsia"/>
          <w:b/>
          <w:bCs/>
          <w:sz w:val="32"/>
          <w:szCs w:val="28"/>
          <w:lang w:val="en-US" w:eastAsia="zh-CN"/>
        </w:rPr>
        <w:drawing>
          <wp:anchor distT="0" distB="0" distL="114300" distR="114300" simplePos="0" relativeHeight="251659264" behindDoc="1" locked="0" layoutInCell="1" allowOverlap="1">
            <wp:simplePos x="0" y="0"/>
            <wp:positionH relativeFrom="column">
              <wp:posOffset>-1177925</wp:posOffset>
            </wp:positionH>
            <wp:positionV relativeFrom="paragraph">
              <wp:posOffset>-939800</wp:posOffset>
            </wp:positionV>
            <wp:extent cx="7686675" cy="10790555"/>
            <wp:effectExtent l="0" t="0" r="9525" b="14605"/>
            <wp:wrapNone/>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7686675" cy="10790555"/>
                    </a:xfrm>
                    <a:prstGeom prst="rect">
                      <a:avLst/>
                    </a:prstGeom>
                  </pic:spPr>
                </pic:pic>
              </a:graphicData>
            </a:graphic>
          </wp:anchor>
        </w:drawing>
      </w:r>
      <w:r>
        <w:rPr>
          <w:rFonts w:hint="eastAsia"/>
          <w:b/>
          <w:bCs/>
          <w:sz w:val="32"/>
          <w:szCs w:val="28"/>
          <w:lang w:val="en-US" w:eastAsia="zh-CN"/>
        </w:rPr>
        <w:br w:type="page"/>
      </w:r>
    </w:p>
    <w:p w14:paraId="41DDB530">
      <w:pPr>
        <w:bidi w:val="0"/>
        <w:ind w:firstLine="560" w:firstLineChars="200"/>
        <w:rPr>
          <w:rFonts w:hint="eastAsia"/>
          <w:lang w:val="en-US" w:eastAsia="zh-CN"/>
        </w:rPr>
      </w:pPr>
      <w:r>
        <w:rPr>
          <w:rFonts w:hint="eastAsia"/>
          <w:lang w:val="en-US" w:eastAsia="zh-CN"/>
        </w:rPr>
        <w:drawing>
          <wp:anchor distT="0" distB="0" distL="114300" distR="114300" simplePos="0" relativeHeight="251661312"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729F76EA">
      <w:pPr>
        <w:bidi w:val="0"/>
        <w:ind w:firstLine="560" w:firstLineChars="200"/>
        <w:rPr>
          <w:rFonts w:hint="default"/>
          <w:lang w:val="en-US" w:eastAsia="zh-CN"/>
        </w:rPr>
      </w:pPr>
      <w:r>
        <w:rPr>
          <w:rFonts w:hint="eastAsia"/>
          <w:lang w:val="en-US" w:eastAsia="zh-CN"/>
        </w:rPr>
        <w:t>U-Blot</w:t>
      </w:r>
      <w:r>
        <w:rPr>
          <w:rFonts w:hint="eastAsia"/>
          <w:vertAlign w:val="superscript"/>
          <w:lang w:val="en-US" w:eastAsia="zh-CN"/>
        </w:rPr>
        <w:t>®</w:t>
      </w:r>
      <w:r>
        <w:rPr>
          <w:rFonts w:hint="default"/>
          <w:vertAlign w:val="superscript"/>
          <w:lang w:val="en-US" w:eastAsia="zh-CN"/>
        </w:rPr>
        <w:t xml:space="preserve"> </w:t>
      </w:r>
      <w:r>
        <w:t>Prestained Protein Ladder</w:t>
      </w:r>
      <w:r>
        <w:rPr>
          <w:rFonts w:hint="eastAsia"/>
          <w:lang w:val="en-US" w:eastAsia="zh-CN"/>
        </w:rPr>
        <w:t xml:space="preserve"> (</w:t>
      </w:r>
      <w:r>
        <w:t>10-</w:t>
      </w:r>
      <w:r>
        <w:rPr>
          <w:rFonts w:hint="eastAsia"/>
          <w:lang w:val="en-US" w:eastAsia="zh-CN"/>
        </w:rPr>
        <w:t>25</w:t>
      </w:r>
      <w:r>
        <w:t>0</w:t>
      </w:r>
      <w:r>
        <w:rPr>
          <w:rFonts w:hint="eastAsia"/>
          <w:lang w:val="en-US" w:eastAsia="zh-CN"/>
        </w:rPr>
        <w:t xml:space="preserve"> </w:t>
      </w:r>
      <w:r>
        <w:t>kDa</w:t>
      </w:r>
      <w:r>
        <w:rPr>
          <w:rFonts w:hint="eastAsia"/>
          <w:lang w:val="en-US" w:eastAsia="zh-CN"/>
        </w:rPr>
        <w:t>)</w:t>
      </w:r>
      <w:r>
        <w:rPr>
          <w:rFonts w:hint="default"/>
        </w:rPr>
        <w:t xml:space="preserve"> </w:t>
      </w:r>
      <w:r>
        <w:rPr>
          <w:rFonts w:hint="eastAsia"/>
        </w:rPr>
        <w:t>contains a total of</w:t>
      </w:r>
      <w:r>
        <w:rPr>
          <w:rFonts w:hint="eastAsia"/>
          <w:lang w:val="en-US" w:eastAsia="zh-CN"/>
        </w:rPr>
        <w:t xml:space="preserve"> </w:t>
      </w:r>
      <w:r>
        <w:rPr>
          <w:rFonts w:hint="eastAsia"/>
        </w:rPr>
        <w:t xml:space="preserve"> 9 kDa from 10 to 250 kDa highly purified and dye recombinant protein (10,</w:t>
      </w:r>
      <w:r>
        <w:rPr>
          <w:rFonts w:hint="eastAsia"/>
          <w:lang w:val="en-US" w:eastAsia="zh-CN"/>
        </w:rPr>
        <w:t xml:space="preserve"> </w:t>
      </w:r>
      <w:r>
        <w:rPr>
          <w:rFonts w:hint="eastAsia"/>
        </w:rPr>
        <w:t>15,</w:t>
      </w:r>
      <w:r>
        <w:rPr>
          <w:rFonts w:hint="eastAsia"/>
          <w:lang w:val="en-US" w:eastAsia="zh-CN"/>
        </w:rPr>
        <w:t xml:space="preserve"> </w:t>
      </w:r>
      <w:r>
        <w:rPr>
          <w:rFonts w:hint="eastAsia"/>
        </w:rPr>
        <w:t>25,</w:t>
      </w:r>
      <w:r>
        <w:rPr>
          <w:rFonts w:hint="eastAsia"/>
          <w:lang w:val="en-US" w:eastAsia="zh-CN"/>
        </w:rPr>
        <w:t xml:space="preserve"> 35</w:t>
      </w:r>
      <w:r>
        <w:rPr>
          <w:rFonts w:hint="eastAsia"/>
        </w:rPr>
        <w:t>,</w:t>
      </w:r>
      <w:r>
        <w:rPr>
          <w:rFonts w:hint="eastAsia"/>
          <w:lang w:val="en-US" w:eastAsia="zh-CN"/>
        </w:rPr>
        <w:t xml:space="preserve"> </w:t>
      </w:r>
      <w:r>
        <w:rPr>
          <w:rFonts w:hint="eastAsia"/>
        </w:rPr>
        <w:t>55,</w:t>
      </w:r>
      <w:r>
        <w:rPr>
          <w:rFonts w:hint="eastAsia"/>
          <w:lang w:val="en-US" w:eastAsia="zh-CN"/>
        </w:rPr>
        <w:t xml:space="preserve"> </w:t>
      </w:r>
      <w:r>
        <w:rPr>
          <w:rFonts w:hint="eastAsia"/>
        </w:rPr>
        <w:t>70,</w:t>
      </w:r>
      <w:r>
        <w:rPr>
          <w:rFonts w:hint="eastAsia"/>
          <w:lang w:val="en-US" w:eastAsia="zh-CN"/>
        </w:rPr>
        <w:t xml:space="preserve"> </w:t>
      </w:r>
      <w:r>
        <w:rPr>
          <w:rFonts w:hint="eastAsia"/>
        </w:rPr>
        <w:t>100,</w:t>
      </w:r>
      <w:r>
        <w:rPr>
          <w:rFonts w:hint="eastAsia" w:eastAsia="宋体"/>
          <w:lang w:val="en-US" w:eastAsia="zh-CN"/>
        </w:rPr>
        <w:t xml:space="preserve"> </w:t>
      </w:r>
      <w:r>
        <w:rPr>
          <w:rFonts w:hint="eastAsia"/>
        </w:rPr>
        <w:t>130,</w:t>
      </w:r>
      <w:r>
        <w:rPr>
          <w:rFonts w:hint="eastAsia"/>
          <w:lang w:val="en-US" w:eastAsia="zh-CN"/>
        </w:rPr>
        <w:t xml:space="preserve"> </w:t>
      </w:r>
      <w:r>
        <w:rPr>
          <w:rFonts w:hint="eastAsia"/>
        </w:rPr>
        <w:t>250 kDa), among them 25 and 70 kDa The band is orange-red and 10</w:t>
      </w:r>
      <w:r>
        <w:rPr>
          <w:rFonts w:hint="eastAsia"/>
          <w:lang w:val="en-US" w:eastAsia="zh-CN"/>
        </w:rPr>
        <w:t xml:space="preserve"> </w:t>
      </w:r>
      <w:r>
        <w:rPr>
          <w:rFonts w:hint="eastAsia"/>
        </w:rPr>
        <w:t xml:space="preserve">kDa is green. </w:t>
      </w:r>
    </w:p>
    <w:p w14:paraId="0CBF61B0">
      <w:pPr>
        <w:pStyle w:val="3"/>
        <w:bidi w:val="0"/>
        <w:rPr>
          <w:rFonts w:hint="default"/>
          <w:lang w:val="en-US" w:eastAsia="zh-CN"/>
        </w:rPr>
      </w:pPr>
      <w:r>
        <w:rPr>
          <w:rFonts w:hint="default"/>
          <w:lang w:val="en-US" w:eastAsia="zh-CN"/>
        </w:rPr>
        <w:t>Applications</w:t>
      </w:r>
    </w:p>
    <w:p w14:paraId="1D317613">
      <w:pPr>
        <w:bidi w:val="0"/>
        <w:ind w:firstLine="560" w:firstLineChars="200"/>
        <w:rPr>
          <w:rFonts w:hint="eastAsia"/>
        </w:rPr>
      </w:pPr>
      <w:r>
        <w:rPr>
          <w:rFonts w:hint="eastAsia"/>
        </w:rPr>
        <w:t>It is suitable as the protein molecular weight standard for SDS-PAGE polyacrylamide gel electrophoresis and Western blotting. The molecular weight range from low to high can dynamically observe the electrophoresis state of the protein and clearly determine the molecular weight of the target protein. Meanwhile, after SDS-PAGE electrophoresis, cl</w:t>
      </w:r>
      <w:r>
        <w:rPr>
          <w:rFonts w:hint="default" w:ascii="Times New Roman" w:hAnsi="Times New Roman" w:cs="Times New Roman"/>
        </w:rPr>
        <w:t>ear colored bands can be seen when transferred to the PVDF membrane (or NC membrane), thereby monitoring the membrane transfer efficiency in the Western Blot experiment. The recommended dosage of this product is 5 to 10</w:t>
      </w:r>
      <w:r>
        <w:rPr>
          <w:rFonts w:hint="eastAsia" w:ascii="Times New Roman" w:hAnsi="Times New Roman" w:cs="Times New Roman"/>
          <w:lang w:val="en-US" w:eastAsia="zh-CN"/>
        </w:rPr>
        <w:t xml:space="preserve"> </w:t>
      </w:r>
      <w:r>
        <w:rPr>
          <w:rFonts w:hint="default" w:ascii="Times New Roman" w:hAnsi="Times New Roman" w:cs="Times New Roman"/>
        </w:rPr>
        <w:t>μL</w:t>
      </w:r>
      <w:r>
        <w:rPr>
          <w:rFonts w:hint="eastAsia"/>
        </w:rPr>
        <w:t>.</w:t>
      </w:r>
    </w:p>
    <w:p w14:paraId="7A90F13E">
      <w:pPr>
        <w:pStyle w:val="3"/>
        <w:bidi w:val="0"/>
        <w:rPr>
          <w:rFonts w:hint="default"/>
          <w:lang w:val="en-US" w:eastAsia="zh-CN"/>
        </w:rPr>
      </w:pPr>
      <w:r>
        <w:rPr>
          <w:rFonts w:hint="eastAsia"/>
          <w:lang w:val="en-US" w:eastAsia="zh-CN"/>
        </w:rPr>
        <w:t xml:space="preserve">Main </w:t>
      </w:r>
      <w:r>
        <w:rPr>
          <w:rFonts w:hint="default"/>
          <w:lang w:val="en-US" w:eastAsia="zh-CN"/>
        </w:rPr>
        <w:t>Storage Buffer</w:t>
      </w:r>
    </w:p>
    <w:p w14:paraId="42A170F6">
      <w:pPr>
        <w:numPr>
          <w:ilvl w:val="0"/>
          <w:numId w:val="1"/>
        </w:numPr>
        <w:bidi w:val="0"/>
        <w:spacing w:line="360" w:lineRule="auto"/>
        <w:ind w:left="420" w:leftChars="0" w:hanging="420" w:firstLineChars="0"/>
        <w:rPr>
          <w:sz w:val="24"/>
          <w:szCs w:val="22"/>
        </w:rPr>
      </w:pPr>
      <w:r>
        <w:rPr>
          <w:sz w:val="24"/>
          <w:szCs w:val="22"/>
        </w:rPr>
        <w:t>20mM Tris-H</w:t>
      </w:r>
      <w:r>
        <w:rPr>
          <w:sz w:val="24"/>
          <w:szCs w:val="22"/>
          <w:vertAlign w:val="subscript"/>
        </w:rPr>
        <w:t>3</w:t>
      </w:r>
      <w:r>
        <w:rPr>
          <w:sz w:val="24"/>
          <w:szCs w:val="22"/>
        </w:rPr>
        <w:t>PO</w:t>
      </w:r>
      <w:r>
        <w:rPr>
          <w:sz w:val="24"/>
          <w:szCs w:val="22"/>
          <w:vertAlign w:val="subscript"/>
        </w:rPr>
        <w:t>4</w:t>
      </w:r>
      <w:r>
        <w:rPr>
          <w:rFonts w:hint="eastAsia" w:eastAsia="宋体"/>
          <w:sz w:val="24"/>
          <w:szCs w:val="22"/>
          <w:vertAlign w:val="subscript"/>
          <w:lang w:val="en-US" w:eastAsia="zh-CN"/>
        </w:rPr>
        <w:t xml:space="preserve"> </w:t>
      </w:r>
      <w:r>
        <w:rPr>
          <w:sz w:val="24"/>
          <w:szCs w:val="22"/>
        </w:rPr>
        <w:t>(pH7.5)</w:t>
      </w:r>
    </w:p>
    <w:p w14:paraId="188A1F45">
      <w:pPr>
        <w:numPr>
          <w:ilvl w:val="0"/>
          <w:numId w:val="1"/>
        </w:numPr>
        <w:bidi w:val="0"/>
        <w:spacing w:line="360" w:lineRule="auto"/>
        <w:ind w:left="420" w:leftChars="0" w:hanging="420" w:firstLineChars="0"/>
        <w:rPr>
          <w:sz w:val="24"/>
          <w:szCs w:val="22"/>
        </w:rPr>
      </w:pPr>
      <w:r>
        <w:rPr>
          <w:sz w:val="24"/>
          <w:szCs w:val="22"/>
        </w:rPr>
        <w:t>2mM EDTA</w:t>
      </w:r>
    </w:p>
    <w:p w14:paraId="57738DD8">
      <w:pPr>
        <w:numPr>
          <w:ilvl w:val="0"/>
          <w:numId w:val="1"/>
        </w:numPr>
        <w:bidi w:val="0"/>
        <w:spacing w:line="360" w:lineRule="auto"/>
        <w:ind w:left="420" w:leftChars="0" w:hanging="420" w:firstLineChars="0"/>
        <w:rPr>
          <w:sz w:val="24"/>
          <w:szCs w:val="22"/>
        </w:rPr>
      </w:pPr>
      <w:r>
        <w:rPr>
          <w:sz w:val="24"/>
          <w:szCs w:val="22"/>
        </w:rPr>
        <w:t>1.5% (W/V) SDS</w:t>
      </w:r>
    </w:p>
    <w:p w14:paraId="0CF831CD">
      <w:pPr>
        <w:numPr>
          <w:ilvl w:val="0"/>
          <w:numId w:val="1"/>
        </w:numPr>
        <w:bidi w:val="0"/>
        <w:spacing w:line="360" w:lineRule="auto"/>
        <w:ind w:left="420" w:leftChars="0" w:hanging="420" w:firstLineChars="0"/>
        <w:rPr>
          <w:sz w:val="24"/>
          <w:szCs w:val="22"/>
        </w:rPr>
      </w:pPr>
      <w:r>
        <w:rPr>
          <w:sz w:val="24"/>
          <w:szCs w:val="22"/>
        </w:rPr>
        <w:t>15% (W/V) Glycerol</w:t>
      </w:r>
    </w:p>
    <w:p w14:paraId="6DD331D5">
      <w:pPr>
        <w:numPr>
          <w:ilvl w:val="0"/>
          <w:numId w:val="1"/>
        </w:numPr>
        <w:bidi w:val="0"/>
        <w:spacing w:line="360" w:lineRule="auto"/>
        <w:ind w:left="420" w:leftChars="0" w:hanging="420" w:firstLineChars="0"/>
        <w:rPr>
          <w:sz w:val="24"/>
          <w:szCs w:val="22"/>
        </w:rPr>
      </w:pPr>
      <w:r>
        <w:rPr>
          <w:sz w:val="24"/>
          <w:szCs w:val="22"/>
        </w:rPr>
        <w:t>4M Urea</w:t>
      </w:r>
    </w:p>
    <w:p w14:paraId="221FF762">
      <w:pPr>
        <w:numPr>
          <w:ilvl w:val="0"/>
          <w:numId w:val="1"/>
        </w:numPr>
        <w:bidi w:val="0"/>
        <w:spacing w:line="360" w:lineRule="auto"/>
        <w:ind w:left="420" w:leftChars="0" w:hanging="420" w:firstLineChars="0"/>
        <w:rPr>
          <w:sz w:val="24"/>
          <w:szCs w:val="22"/>
        </w:rPr>
      </w:pPr>
      <w:r>
        <w:rPr>
          <w:sz w:val="24"/>
          <w:szCs w:val="22"/>
        </w:rPr>
        <w:t>3mM DTT</w:t>
      </w:r>
    </w:p>
    <w:p w14:paraId="5528E90D">
      <w:pPr>
        <w:numPr>
          <w:ilvl w:val="0"/>
          <w:numId w:val="1"/>
        </w:numPr>
        <w:bidi w:val="0"/>
        <w:spacing w:line="360" w:lineRule="auto"/>
        <w:ind w:left="420" w:leftChars="0" w:hanging="420" w:firstLineChars="0"/>
        <w:rPr>
          <w:sz w:val="24"/>
          <w:szCs w:val="22"/>
        </w:rPr>
      </w:pPr>
      <w:r>
        <w:rPr>
          <w:sz w:val="24"/>
          <w:szCs w:val="22"/>
        </w:rPr>
        <w:t>0.1% (V/V) Proclin300</w:t>
      </w:r>
    </w:p>
    <w:p w14:paraId="67B62966">
      <w:pPr>
        <w:bidi w:val="0"/>
        <w:rPr>
          <w:rFonts w:hint="default"/>
          <w:sz w:val="28"/>
          <w:szCs w:val="24"/>
          <w:lang w:val="en-US" w:eastAsia="zh-CN"/>
        </w:rPr>
      </w:pPr>
      <w:r>
        <w:rPr>
          <w:rFonts w:hint="eastAsia"/>
          <w:b/>
          <w:bCs/>
          <w:sz w:val="28"/>
          <w:szCs w:val="24"/>
        </w:rPr>
        <w:t>Storage and stability</w:t>
      </w:r>
      <w:r>
        <w:rPr>
          <w:rFonts w:hint="eastAsia"/>
          <w:b/>
          <w:bCs/>
          <w:sz w:val="28"/>
          <w:szCs w:val="24"/>
          <w:lang w:eastAsia="zh-CN"/>
        </w:rPr>
        <w:t>：</w:t>
      </w:r>
      <w:r>
        <w:rPr>
          <w:rFonts w:hint="default"/>
          <w:sz w:val="28"/>
          <w:szCs w:val="24"/>
          <w:lang w:val="en-US" w:eastAsia="zh-CN"/>
        </w:rPr>
        <w:t>Stable at -20℃</w:t>
      </w:r>
      <w:r>
        <w:rPr>
          <w:rFonts w:hint="eastAsia"/>
          <w:sz w:val="28"/>
          <w:szCs w:val="24"/>
          <w:lang w:val="en-US" w:eastAsia="zh-CN"/>
        </w:rPr>
        <w:t xml:space="preserve"> </w:t>
      </w:r>
      <w:r>
        <w:rPr>
          <w:rFonts w:hint="default"/>
          <w:sz w:val="28"/>
          <w:szCs w:val="24"/>
          <w:lang w:val="en-US" w:eastAsia="zh-CN"/>
        </w:rPr>
        <w:t>for 36 months ; 4℃ for 3 months; 25℃ for 4 weeks</w:t>
      </w:r>
      <w:bookmarkStart w:id="0" w:name="_GoBack"/>
      <w:r>
        <w:rPr>
          <w:rFonts w:hint="eastAsia"/>
          <w:lang w:val="en-US" w:eastAsia="zh-CN"/>
        </w:rPr>
        <w:drawing>
          <wp:anchor distT="0" distB="0" distL="114300" distR="114300" simplePos="0" relativeHeight="251662336" behindDoc="1" locked="0" layoutInCell="1" allowOverlap="1">
            <wp:simplePos x="0" y="0"/>
            <wp:positionH relativeFrom="column">
              <wp:posOffset>-1151255</wp:posOffset>
            </wp:positionH>
            <wp:positionV relativeFrom="paragraph">
              <wp:posOffset>-909955</wp:posOffset>
            </wp:positionV>
            <wp:extent cx="7578090" cy="10703560"/>
            <wp:effectExtent l="0" t="0" r="11430" b="1016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bookmarkEnd w:id="0"/>
    </w:p>
    <w:p w14:paraId="31EEF946">
      <w:pPr>
        <w:pStyle w:val="3"/>
        <w:bidi w:val="0"/>
        <w:rPr>
          <w:rFonts w:hint="default"/>
          <w:lang w:val="en-US" w:eastAsia="zh-CN"/>
        </w:rPr>
      </w:pPr>
      <w:r>
        <w:rPr>
          <w:rFonts w:hint="default"/>
          <w:lang w:val="en-US" w:eastAsia="zh-CN"/>
        </w:rPr>
        <w:t>Important Product Information</w:t>
      </w:r>
    </w:p>
    <w:p w14:paraId="5CA03467">
      <w:pPr>
        <w:bidi w:val="0"/>
        <w:ind w:firstLine="560" w:firstLineChars="200"/>
        <w:rPr>
          <w:rFonts w:hint="eastAsia" w:eastAsia="宋体"/>
          <w:lang w:val="en-US" w:eastAsia="zh-CN"/>
        </w:rPr>
      </w:pPr>
      <w:r>
        <w:rPr>
          <w:rFonts w:hint="default"/>
          <w:lang w:val="en-US" w:eastAsia="zh-CN"/>
        </w:rPr>
        <w:t>Migration pattern of</w:t>
      </w:r>
      <w:r>
        <w:rPr>
          <w:rFonts w:hint="eastAsia"/>
          <w:lang w:val="en-US" w:eastAsia="zh-CN"/>
        </w:rPr>
        <w:t xml:space="preserve"> U-Blot</w:t>
      </w:r>
      <w:r>
        <w:rPr>
          <w:rFonts w:hint="eastAsia"/>
          <w:vertAlign w:val="superscript"/>
          <w:lang w:val="en-US" w:eastAsia="zh-CN"/>
        </w:rPr>
        <w:t>®</w:t>
      </w:r>
      <w:r>
        <w:rPr>
          <w:rFonts w:hint="default"/>
          <w:lang w:val="en-US" w:eastAsia="zh-CN"/>
        </w:rPr>
        <w:t xml:space="preserve"> </w:t>
      </w:r>
      <w:r>
        <w:t>Prestained Protein Ladder（10-250k Da）</w:t>
      </w:r>
      <w:r>
        <w:rPr>
          <w:rFonts w:hint="eastAsia" w:eastAsia="宋体"/>
          <w:lang w:val="en-US" w:eastAsia="zh-CN"/>
        </w:rPr>
        <w:t xml:space="preserve">: </w:t>
      </w:r>
      <w:r>
        <w:rPr>
          <w:rFonts w:hint="default"/>
          <w:lang w:val="en-US" w:eastAsia="zh-CN"/>
        </w:rPr>
        <w:t>The apparent molecular weight (kDa) of each protein has been determined by calibration against unstained protein standards in various electrophoresis buffer</w:t>
      </w:r>
      <w:r>
        <w:rPr>
          <w:rFonts w:hint="eastAsia"/>
          <w:lang w:val="en-US" w:eastAsia="zh-CN"/>
        </w:rPr>
        <w:t xml:space="preserve"> systems.</w:t>
      </w:r>
    </w:p>
    <w:p w14:paraId="61A3D24E">
      <w:pPr>
        <w:bidi w:val="0"/>
        <w:jc w:val="center"/>
        <w:rPr>
          <w:rFonts w:hint="default"/>
          <w:lang w:val="en-US" w:eastAsia="zh-CN"/>
        </w:rPr>
      </w:pPr>
      <w:r>
        <w:rPr>
          <w:position w:val="-72"/>
        </w:rPr>
        <w:drawing>
          <wp:inline distT="0" distB="0" distL="0" distR="0">
            <wp:extent cx="4199255" cy="2088515"/>
            <wp:effectExtent l="0" t="0" r="6985" b="1460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8"/>
                    <a:stretch>
                      <a:fillRect/>
                    </a:stretch>
                  </pic:blipFill>
                  <pic:spPr>
                    <a:xfrm>
                      <a:off x="0" y="0"/>
                      <a:ext cx="4199255" cy="2088515"/>
                    </a:xfrm>
                    <a:prstGeom prst="rect">
                      <a:avLst/>
                    </a:prstGeom>
                  </pic:spPr>
                </pic:pic>
              </a:graphicData>
            </a:graphic>
          </wp:inline>
        </w:drawing>
      </w:r>
    </w:p>
    <w:p w14:paraId="797CA735">
      <w:pPr>
        <w:spacing w:line="240" w:lineRule="auto"/>
        <w:jc w:val="center"/>
        <w:rPr>
          <w:rFonts w:hint="default"/>
          <w:lang w:val="en-US" w:eastAsia="zh-CN"/>
        </w:rPr>
      </w:pPr>
      <w:r>
        <w:drawing>
          <wp:inline distT="0" distB="0" distL="114300" distR="114300">
            <wp:extent cx="1859280" cy="323913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59280" cy="3239135"/>
                    </a:xfrm>
                    <a:prstGeom prst="rect">
                      <a:avLst/>
                    </a:prstGeom>
                    <a:noFill/>
                    <a:ln>
                      <a:noFill/>
                    </a:ln>
                  </pic:spPr>
                </pic:pic>
              </a:graphicData>
            </a:graphic>
          </wp:inline>
        </w:drawing>
      </w:r>
    </w:p>
    <w:p w14:paraId="134E0FDB">
      <w:pPr>
        <w:pStyle w:val="3"/>
        <w:bidi w:val="0"/>
        <w:rPr>
          <w:rFonts w:hint="default"/>
          <w:lang w:val="en-US" w:eastAsia="zh-CN"/>
        </w:rPr>
      </w:pPr>
      <w:r>
        <w:rPr>
          <w:rFonts w:hint="default"/>
          <w:lang w:val="en-US" w:eastAsia="zh-CN"/>
        </w:rPr>
        <w:t>Instructions for use</w:t>
      </w:r>
    </w:p>
    <w:p w14:paraId="56D073A3">
      <w:pPr>
        <w:numPr>
          <w:ilvl w:val="0"/>
          <w:numId w:val="2"/>
        </w:numPr>
        <w:bidi w:val="0"/>
        <w:ind w:left="0" w:leftChars="0" w:firstLine="560" w:firstLineChars="200"/>
        <w:rPr>
          <w:rFonts w:hint="eastAsia"/>
        </w:rPr>
      </w:pPr>
      <w:r>
        <w:rPr>
          <w:rFonts w:hint="eastAsia"/>
        </w:rPr>
        <w:t xml:space="preserve">This product is a ready-to-use one. Before adding the sample, let </w:t>
      </w:r>
    </w:p>
    <w:p w14:paraId="4BEED0E2">
      <w:pPr>
        <w:numPr>
          <w:ilvl w:val="0"/>
          <w:numId w:val="0"/>
        </w:numPr>
        <w:bidi w:val="0"/>
        <w:ind w:leftChars="200"/>
        <w:rPr>
          <w:rFonts w:hint="eastAsia"/>
        </w:rPr>
      </w:pPr>
    </w:p>
    <w:p w14:paraId="7C4E5A16">
      <w:pPr>
        <w:numPr>
          <w:ilvl w:val="0"/>
          <w:numId w:val="0"/>
        </w:numPr>
        <w:bidi w:val="0"/>
        <w:rPr>
          <w:rFonts w:hint="eastAsia"/>
        </w:rPr>
      </w:pPr>
      <w:r>
        <w:rPr>
          <w:rFonts w:hint="eastAsia"/>
        </w:rPr>
        <w:t>it stand at room temperature for several minutes to thaw, then gently shake it well to ensure the solution is evenly mixed. (Please do not boil, dilute or add a reducing agent for treatment!</w:t>
      </w:r>
      <w:r>
        <w:rPr>
          <w:rFonts w:hint="eastAsia"/>
          <w:lang w:val="en-US" w:eastAsia="zh-CN"/>
        </w:rPr>
        <w:t xml:space="preserve"> </w:t>
      </w:r>
      <w:r>
        <w:rPr>
          <w:rFonts w:hint="eastAsia"/>
        </w:rPr>
        <w:t>)</w:t>
      </w:r>
      <w:r>
        <w:rPr>
          <w:rFonts w:hint="eastAsia"/>
          <w:lang w:val="en-US" w:eastAsia="zh-CN"/>
        </w:rPr>
        <w:drawing>
          <wp:anchor distT="0" distB="0" distL="114300" distR="114300" simplePos="0" relativeHeight="251663360" behindDoc="1" locked="0" layoutInCell="1" allowOverlap="1">
            <wp:simplePos x="0" y="0"/>
            <wp:positionH relativeFrom="column">
              <wp:posOffset>-1151255</wp:posOffset>
            </wp:positionH>
            <wp:positionV relativeFrom="paragraph">
              <wp:posOffset>-1306195</wp:posOffset>
            </wp:positionV>
            <wp:extent cx="7578090" cy="10703560"/>
            <wp:effectExtent l="0" t="0" r="11430" b="10160"/>
            <wp:wrapNone/>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7EF869E1">
      <w:pPr>
        <w:numPr>
          <w:ilvl w:val="0"/>
          <w:numId w:val="2"/>
        </w:numPr>
        <w:bidi w:val="0"/>
        <w:ind w:left="0" w:leftChars="0" w:firstLine="560" w:firstLineChars="200"/>
        <w:rPr>
          <w:rFonts w:hint="eastAsia"/>
        </w:rPr>
      </w:pPr>
      <w:r>
        <w:rPr>
          <w:rFonts w:hint="eastAsia"/>
        </w:rPr>
        <w:t>Take 5</w:t>
      </w:r>
      <w:r>
        <w:rPr>
          <w:rFonts w:hint="eastAsia" w:eastAsia="宋体"/>
          <w:lang w:val="en-US" w:eastAsia="zh-CN"/>
        </w:rPr>
        <w:t xml:space="preserve"> </w:t>
      </w:r>
      <w:r>
        <w:rPr>
          <w:rFonts w:hint="default" w:ascii="Times New Roman" w:hAnsi="Times New Roman" w:eastAsia="宋体" w:cs="Times New Roman"/>
          <w:lang w:val="en-US" w:eastAsia="zh-CN"/>
        </w:rPr>
        <w:t>μl</w:t>
      </w:r>
      <w:r>
        <w:rPr>
          <w:rFonts w:hint="eastAsia"/>
        </w:rPr>
        <w:t xml:space="preserve"> of the sample into the gel spotting well for polyacrylamide gel electrophoresis (</w:t>
      </w:r>
      <w:r>
        <w:rPr>
          <w:rFonts w:hint="eastAsia"/>
          <w:lang w:val="en-US" w:eastAsia="zh-CN"/>
        </w:rPr>
        <w:t xml:space="preserve"> </w:t>
      </w:r>
      <w:r>
        <w:rPr>
          <w:rFonts w:hint="eastAsia"/>
        </w:rPr>
        <w:t>if the spotting well is wide, the sample loading amount can be appropriately increased</w:t>
      </w:r>
      <w:r>
        <w:rPr>
          <w:rFonts w:hint="eastAsia"/>
          <w:lang w:val="en-US" w:eastAsia="zh-CN"/>
        </w:rPr>
        <w:t xml:space="preserve"> </w:t>
      </w:r>
      <w:r>
        <w:rPr>
          <w:rFonts w:hint="eastAsia"/>
        </w:rPr>
        <w:t>).</w:t>
      </w:r>
      <w:r>
        <w:rPr>
          <w:rFonts w:hint="eastAsia" w:eastAsia="宋体"/>
          <w:lang w:val="en-US" w:eastAsia="zh-CN"/>
        </w:rPr>
        <w:t xml:space="preserve"> </w:t>
      </w:r>
    </w:p>
    <w:p w14:paraId="132FC9CD">
      <w:pPr>
        <w:numPr>
          <w:ilvl w:val="0"/>
          <w:numId w:val="2"/>
        </w:numPr>
        <w:bidi w:val="0"/>
        <w:ind w:left="0" w:leftChars="0" w:firstLine="560" w:firstLineChars="200"/>
        <w:rPr>
          <w:rFonts w:hint="eastAsia"/>
        </w:rPr>
      </w:pPr>
      <w:r>
        <w:rPr>
          <w:rFonts w:hint="eastAsia"/>
        </w:rPr>
        <w:t>It is recommended that laboratories with the necessary conditions determine the appropriate sample loading amount through pre-experiments when using this product for the first time based on their own experimental conditions and habits. This can save costs and obtain more effective experimental images at the same time.</w:t>
      </w:r>
    </w:p>
    <w:p w14:paraId="15168551">
      <w:pPr>
        <w:numPr>
          <w:ilvl w:val="0"/>
          <w:numId w:val="2"/>
        </w:numPr>
        <w:ind w:left="0" w:leftChars="0" w:firstLine="560" w:firstLineChars="200"/>
        <w:rPr>
          <w:rFonts w:hint="eastAsia"/>
        </w:rPr>
      </w:pPr>
      <w:r>
        <w:rPr>
          <w:rFonts w:hint="eastAsia"/>
        </w:rPr>
        <w:t>For frequent use, it can be stored at 2 to 8 degrees Celsius. The validity period is 3 months. It is recommended to aliquot and store it to avoid repeated freezing and thawing.</w:t>
      </w:r>
    </w:p>
    <w:p w14:paraId="5AA8BA8C">
      <w:pPr>
        <w:pStyle w:val="3"/>
        <w:bidi w:val="0"/>
      </w:pPr>
      <w:r>
        <w:rPr>
          <w:rFonts w:hint="eastAsia"/>
          <w:lang w:val="en-US" w:eastAsia="zh-CN"/>
        </w:rPr>
        <w:t>Tech notes</w:t>
      </w:r>
    </w:p>
    <w:p w14:paraId="0CF0B6DE">
      <w:pPr>
        <w:bidi w:val="0"/>
        <w:ind w:firstLine="560" w:firstLineChars="200"/>
        <w:rPr>
          <w:rFonts w:hint="eastAsia"/>
        </w:rPr>
      </w:pPr>
      <w:r>
        <w:rPr>
          <w:rFonts w:hint="eastAsia"/>
        </w:rPr>
        <w:t>This product is convenient to package and can be used without heating, dilution or the use of other reducing agents.</w:t>
      </w:r>
    </w:p>
    <w:p w14:paraId="70307CF0">
      <w:pPr>
        <w:numPr>
          <w:ilvl w:val="0"/>
          <w:numId w:val="3"/>
        </w:numPr>
        <w:bidi w:val="0"/>
        <w:ind w:left="0" w:leftChars="0" w:firstLine="560" w:firstLineChars="200"/>
        <w:rPr>
          <w:rFonts w:hint="eastAsia"/>
        </w:rPr>
      </w:pPr>
      <w:r>
        <w:rPr>
          <w:rFonts w:hint="eastAsia"/>
        </w:rPr>
        <w:t xml:space="preserve">In Western blotting experiments, the large molecule proteins (100 kDa) in the product may require a longer transfer time or transfer current to complete the transfer. In addition, it is recommended that SDS be not added to the transfer membrane solution. If it must be used in the </w:t>
      </w:r>
    </w:p>
    <w:p w14:paraId="353CDC55">
      <w:pPr>
        <w:numPr>
          <w:ilvl w:val="0"/>
          <w:numId w:val="0"/>
        </w:numPr>
        <w:bidi w:val="0"/>
        <w:rPr>
          <w:rFonts w:hint="eastAsia"/>
        </w:rPr>
      </w:pPr>
    </w:p>
    <w:p w14:paraId="30B3DF6F">
      <w:pPr>
        <w:numPr>
          <w:ilvl w:val="0"/>
          <w:numId w:val="0"/>
        </w:numPr>
        <w:bidi w:val="0"/>
        <w:rPr>
          <w:rFonts w:hint="eastAsia"/>
        </w:rPr>
      </w:pPr>
      <w:r>
        <w:rPr>
          <w:rFonts w:hint="eastAsia"/>
        </w:rPr>
        <w:t>experiment, it is suggested that the SDS concentration should not exceed 0.05%.</w:t>
      </w:r>
      <w:r>
        <w:rPr>
          <w:rFonts w:hint="eastAsia"/>
          <w:lang w:val="en-US" w:eastAsia="zh-CN"/>
        </w:rPr>
        <w:drawing>
          <wp:anchor distT="0" distB="0" distL="114300" distR="114300" simplePos="0" relativeHeight="251664384" behindDoc="1" locked="0" layoutInCell="1" allowOverlap="1">
            <wp:simplePos x="0" y="0"/>
            <wp:positionH relativeFrom="column">
              <wp:posOffset>-1151255</wp:posOffset>
            </wp:positionH>
            <wp:positionV relativeFrom="paragraph">
              <wp:posOffset>-1306195</wp:posOffset>
            </wp:positionV>
            <wp:extent cx="7578090" cy="10703560"/>
            <wp:effectExtent l="0" t="0" r="11430" b="1016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7"/>
                    <a:stretch>
                      <a:fillRect/>
                    </a:stretch>
                  </pic:blipFill>
                  <pic:spPr>
                    <a:xfrm>
                      <a:off x="0" y="0"/>
                      <a:ext cx="7578090" cy="10703560"/>
                    </a:xfrm>
                    <a:prstGeom prst="rect">
                      <a:avLst/>
                    </a:prstGeom>
                  </pic:spPr>
                </pic:pic>
              </a:graphicData>
            </a:graphic>
          </wp:anchor>
        </w:drawing>
      </w:r>
    </w:p>
    <w:p w14:paraId="3085008D">
      <w:pPr>
        <w:numPr>
          <w:ilvl w:val="0"/>
          <w:numId w:val="3"/>
        </w:numPr>
        <w:bidi w:val="0"/>
        <w:ind w:left="0" w:leftChars="0" w:firstLine="560" w:firstLineChars="200"/>
        <w:rPr>
          <w:rFonts w:hint="eastAsia"/>
        </w:rPr>
      </w:pPr>
      <w:r>
        <w:rPr>
          <w:rFonts w:hint="eastAsia"/>
        </w:rPr>
        <w:t>The pre-stained protein bands have different migration rates after binding to the proteins in different SDS-PAGE buffers. In low-</w:t>
      </w:r>
      <w:r>
        <w:rPr>
          <w:rFonts w:hint="eastAsia"/>
          <w:lang w:val="en-US" w:eastAsia="zh-CN"/>
        </w:rPr>
        <w:t xml:space="preserve">  </w:t>
      </w:r>
      <w:r>
        <w:rPr>
          <w:rFonts w:hint="eastAsia"/>
        </w:rPr>
        <w:t>concentration gels (&lt;10%), low-molecular-weight protein bands may migrate with the dye and are for reference only when used to determine the molecular weight of the target protein.</w:t>
      </w:r>
    </w:p>
    <w:p w14:paraId="616F6858">
      <w:pPr>
        <w:numPr>
          <w:ilvl w:val="0"/>
          <w:numId w:val="3"/>
        </w:numPr>
        <w:bidi w:val="0"/>
        <w:ind w:left="0" w:leftChars="0" w:firstLine="560" w:firstLineChars="200"/>
      </w:pPr>
      <w:r>
        <w:rPr>
          <w:rFonts w:hint="eastAsia"/>
        </w:rPr>
        <w:t>It is recommended to use 12% separation gel or 4-20% gradient gel for electrophoresis.</w:t>
      </w:r>
    </w:p>
    <w:p w14:paraId="54D91534">
      <w:pPr>
        <w:numPr>
          <w:ilvl w:val="0"/>
          <w:numId w:val="3"/>
        </w:numPr>
        <w:bidi w:val="0"/>
        <w:ind w:left="0" w:leftChars="0" w:firstLine="560" w:firstLineChars="200"/>
      </w:pPr>
      <w:r>
        <w:rPr>
          <w:rFonts w:hint="eastAsia"/>
        </w:rPr>
        <w:t>For your health, please wear a lab coat and disposable gloves when operating.</w:t>
      </w:r>
    </w:p>
    <w:p w14:paraId="1968D22D">
      <w:pPr>
        <w:bidi w:val="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B0C254"/>
    <w:multiLevelType w:val="singleLevel"/>
    <w:tmpl w:val="2EB0C254"/>
    <w:lvl w:ilvl="0" w:tentative="0">
      <w:start w:val="1"/>
      <w:numFmt w:val="decimal"/>
      <w:suff w:val="nothing"/>
      <w:lvlText w:val="%1．"/>
      <w:lvlJc w:val="left"/>
      <w:pPr>
        <w:ind w:left="0" w:firstLine="400"/>
      </w:pPr>
      <w:rPr>
        <w:rFonts w:hint="default"/>
      </w:rPr>
    </w:lvl>
  </w:abstractNum>
  <w:abstractNum w:abstractNumId="1">
    <w:nsid w:val="47DBF6EB"/>
    <w:multiLevelType w:val="singleLevel"/>
    <w:tmpl w:val="47DBF6EB"/>
    <w:lvl w:ilvl="0" w:tentative="0">
      <w:start w:val="1"/>
      <w:numFmt w:val="bullet"/>
      <w:lvlText w:val=""/>
      <w:lvlJc w:val="left"/>
      <w:pPr>
        <w:ind w:left="420" w:hanging="420"/>
      </w:pPr>
      <w:rPr>
        <w:rFonts w:hint="default" w:ascii="Wingdings" w:hAnsi="Wingdings"/>
      </w:rPr>
    </w:lvl>
  </w:abstractNum>
  <w:abstractNum w:abstractNumId="2">
    <w:nsid w:val="693A1AF4"/>
    <w:multiLevelType w:val="singleLevel"/>
    <w:tmpl w:val="693A1AF4"/>
    <w:lvl w:ilvl="0" w:tentative="0">
      <w:start w:val="1"/>
      <w:numFmt w:val="decimal"/>
      <w:suff w:val="nothing"/>
      <w:lvlText w:val="%1．"/>
      <w:lvlJc w:val="left"/>
      <w:pPr>
        <w:ind w:left="0" w:firstLine="4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44855607"/>
    <w:rsid w:val="02BE1F43"/>
    <w:rsid w:val="05291528"/>
    <w:rsid w:val="07F67F51"/>
    <w:rsid w:val="091B6A42"/>
    <w:rsid w:val="11251C90"/>
    <w:rsid w:val="12A703AC"/>
    <w:rsid w:val="185976A7"/>
    <w:rsid w:val="197C38F4"/>
    <w:rsid w:val="1DB73C54"/>
    <w:rsid w:val="20BC05DF"/>
    <w:rsid w:val="26424874"/>
    <w:rsid w:val="2C7D19DB"/>
    <w:rsid w:val="2F586FE4"/>
    <w:rsid w:val="328A3ED9"/>
    <w:rsid w:val="33232268"/>
    <w:rsid w:val="389A471E"/>
    <w:rsid w:val="38EC0CA5"/>
    <w:rsid w:val="422F0C86"/>
    <w:rsid w:val="44855607"/>
    <w:rsid w:val="44FB1821"/>
    <w:rsid w:val="455A5ECB"/>
    <w:rsid w:val="459B56C8"/>
    <w:rsid w:val="472B158B"/>
    <w:rsid w:val="48A61938"/>
    <w:rsid w:val="4B44328C"/>
    <w:rsid w:val="4C8A07C3"/>
    <w:rsid w:val="52050E33"/>
    <w:rsid w:val="524F1A19"/>
    <w:rsid w:val="52F872BE"/>
    <w:rsid w:val="538E7855"/>
    <w:rsid w:val="56E056BE"/>
    <w:rsid w:val="577E783D"/>
    <w:rsid w:val="57D625C6"/>
    <w:rsid w:val="5A7622F9"/>
    <w:rsid w:val="66DB666F"/>
    <w:rsid w:val="67966E2F"/>
    <w:rsid w:val="68442359"/>
    <w:rsid w:val="6AEB66F0"/>
    <w:rsid w:val="6E73507C"/>
    <w:rsid w:val="70292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autoRedefine/>
    <w:qFormat/>
    <w:uiPriority w:val="0"/>
    <w:pPr>
      <w:widowControl w:val="0"/>
      <w:bidi w:val="0"/>
      <w:spacing w:line="360" w:lineRule="auto"/>
      <w:jc w:val="left"/>
    </w:pPr>
    <w:rPr>
      <w:rFonts w:ascii="Times New Roman" w:hAnsi="Times New Roman" w:eastAsia="微软雅黑" w:cs="Times New Roman"/>
      <w:kern w:val="2"/>
      <w:sz w:val="28"/>
      <w:szCs w:val="24"/>
      <w:lang w:val="en-US" w:eastAsia="zh-CN" w:bidi="ar-SA"/>
    </w:rPr>
  </w:style>
  <w:style w:type="paragraph" w:styleId="2">
    <w:name w:val="heading 1"/>
    <w:basedOn w:val="1"/>
    <w:next w:val="1"/>
    <w:link w:val="19"/>
    <w:autoRedefine/>
    <w:qFormat/>
    <w:uiPriority w:val="0"/>
    <w:pPr>
      <w:spacing w:beforeAutospacing="0" w:after="0" w:afterAutospacing="0"/>
      <w:jc w:val="left"/>
      <w:outlineLvl w:val="0"/>
    </w:pPr>
    <w:rPr>
      <w:rFonts w:cs="宋体"/>
      <w:b/>
      <w:bCs/>
      <w:kern w:val="44"/>
      <w:sz w:val="32"/>
      <w:szCs w:val="48"/>
      <w:lang w:bidi="ar"/>
    </w:rPr>
  </w:style>
  <w:style w:type="paragraph" w:styleId="3">
    <w:name w:val="heading 2"/>
    <w:basedOn w:val="1"/>
    <w:next w:val="1"/>
    <w:link w:val="13"/>
    <w:unhideWhenUsed/>
    <w:qFormat/>
    <w:uiPriority w:val="0"/>
    <w:pPr>
      <w:keepNext/>
      <w:keepLines/>
      <w:spacing w:beforeLines="0" w:beforeAutospacing="0" w:afterLines="0" w:afterAutospacing="0" w:line="360" w:lineRule="auto"/>
      <w:jc w:val="left"/>
      <w:outlineLvl w:val="1"/>
    </w:pPr>
    <w:rPr>
      <w:rFonts w:ascii="Times New Roman" w:hAnsi="Times New Roman"/>
      <w:b/>
      <w:sz w:val="30"/>
    </w:rPr>
  </w:style>
  <w:style w:type="paragraph" w:styleId="4">
    <w:name w:val="heading 3"/>
    <w:basedOn w:val="1"/>
    <w:next w:val="1"/>
    <w:link w:val="14"/>
    <w:semiHidden/>
    <w:unhideWhenUsed/>
    <w:qFormat/>
    <w:uiPriority w:val="0"/>
    <w:pPr>
      <w:spacing w:before="0" w:beforeAutospacing="0" w:after="0" w:afterAutospacing="0"/>
      <w:jc w:val="left"/>
      <w:outlineLvl w:val="2"/>
    </w:pPr>
    <w:rPr>
      <w:rFonts w:hint="eastAsia" w:ascii="Times New Roman" w:hAnsi="Times New Roman" w:cs="宋体"/>
      <w:b/>
      <w:bCs/>
      <w:kern w:val="0"/>
      <w:sz w:val="32"/>
      <w:szCs w:val="27"/>
      <w:lang w:bidi="ar"/>
    </w:rPr>
  </w:style>
  <w:style w:type="paragraph" w:styleId="5">
    <w:name w:val="heading 4"/>
    <w:basedOn w:val="1"/>
    <w:next w:val="1"/>
    <w:link w:val="15"/>
    <w:semiHidden/>
    <w:unhideWhenUsed/>
    <w:qFormat/>
    <w:uiPriority w:val="0"/>
    <w:pPr>
      <w:spacing w:before="0" w:beforeAutospacing="0" w:after="0" w:afterAutospacing="0"/>
      <w:jc w:val="left"/>
      <w:outlineLvl w:val="3"/>
    </w:pPr>
    <w:rPr>
      <w:rFonts w:hint="eastAsia" w:ascii="Times New Roman" w:hAnsi="Times New Roman" w:cs="宋体"/>
      <w:b/>
      <w:bCs/>
      <w:kern w:val="0"/>
      <w:sz w:val="28"/>
      <w:lang w:bidi="ar"/>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b/>
    </w:rPr>
  </w:style>
  <w:style w:type="paragraph" w:styleId="7">
    <w:name w:val="heading 6"/>
    <w:basedOn w:val="1"/>
    <w:next w:val="1"/>
    <w:link w:val="16"/>
    <w:semiHidden/>
    <w:unhideWhenUsed/>
    <w:qFormat/>
    <w:uiPriority w:val="0"/>
    <w:pPr>
      <w:keepNext/>
      <w:keepLines/>
      <w:spacing w:beforeLines="0" w:beforeAutospacing="0" w:afterLines="0" w:afterAutospacing="0" w:line="360" w:lineRule="auto"/>
      <w:outlineLvl w:val="5"/>
    </w:pPr>
    <w:rPr>
      <w:rFonts w:ascii="Times New Roman" w:hAnsi="Times New Roman" w:eastAsia="宋体"/>
      <w:b/>
      <w:sz w:val="24"/>
    </w:rPr>
  </w:style>
  <w:style w:type="paragraph" w:styleId="8">
    <w:name w:val="heading 7"/>
    <w:basedOn w:val="1"/>
    <w:next w:val="1"/>
    <w:semiHidden/>
    <w:unhideWhenUsed/>
    <w:qFormat/>
    <w:uiPriority w:val="0"/>
    <w:pPr>
      <w:keepNext/>
      <w:keepLines/>
      <w:spacing w:beforeLines="0" w:beforeAutospacing="0" w:afterLines="0" w:afterAutospacing="0" w:line="360" w:lineRule="auto"/>
      <w:outlineLvl w:val="6"/>
    </w:pPr>
    <w:rPr>
      <w:b/>
      <w:sz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customStyle="1" w:styleId="13">
    <w:name w:val="标题 2 Char"/>
    <w:link w:val="3"/>
    <w:autoRedefine/>
    <w:qFormat/>
    <w:uiPriority w:val="0"/>
    <w:rPr>
      <w:rFonts w:ascii="Times New Roman" w:hAnsi="Times New Roman" w:eastAsia="微软雅黑"/>
      <w:b/>
      <w:sz w:val="30"/>
    </w:rPr>
  </w:style>
  <w:style w:type="character" w:customStyle="1" w:styleId="14">
    <w:name w:val="标题 3 Char"/>
    <w:link w:val="4"/>
    <w:autoRedefine/>
    <w:qFormat/>
    <w:uiPriority w:val="0"/>
    <w:rPr>
      <w:rFonts w:hint="eastAsia" w:ascii="Times New Roman" w:hAnsi="Times New Roman" w:eastAsia="宋体" w:cs="宋体"/>
      <w:b/>
      <w:bCs/>
      <w:kern w:val="0"/>
      <w:sz w:val="32"/>
      <w:szCs w:val="32"/>
      <w:lang w:val="en-US" w:eastAsia="zh-CN" w:bidi="ar"/>
    </w:rPr>
  </w:style>
  <w:style w:type="character" w:customStyle="1" w:styleId="15">
    <w:name w:val="标题 4 Char"/>
    <w:link w:val="5"/>
    <w:qFormat/>
    <w:uiPriority w:val="0"/>
    <w:rPr>
      <w:rFonts w:hint="eastAsia" w:ascii="Times New Roman" w:hAnsi="Times New Roman" w:eastAsia="宋体" w:cs="宋体"/>
      <w:b/>
      <w:bCs/>
      <w:kern w:val="0"/>
      <w:sz w:val="28"/>
      <w:szCs w:val="24"/>
      <w:lang w:val="en-US" w:eastAsia="zh-CN" w:bidi="ar"/>
    </w:rPr>
  </w:style>
  <w:style w:type="character" w:customStyle="1" w:styleId="16">
    <w:name w:val="标题 6 Char"/>
    <w:link w:val="7"/>
    <w:qFormat/>
    <w:uiPriority w:val="0"/>
    <w:rPr>
      <w:rFonts w:ascii="Times New Roman" w:hAnsi="Times New Roman" w:eastAsia="宋体"/>
      <w:b/>
      <w:sz w:val="24"/>
    </w:rPr>
  </w:style>
  <w:style w:type="character" w:customStyle="1" w:styleId="17">
    <w:name w:val="样式1"/>
    <w:basedOn w:val="11"/>
    <w:autoRedefine/>
    <w:qFormat/>
    <w:uiPriority w:val="0"/>
    <w:rPr>
      <w:rFonts w:hint="eastAsia" w:ascii="Times New Roman" w:hAnsi="Times New Roman" w:eastAsia="宋体"/>
      <w:sz w:val="21"/>
      <w:lang w:val="en-US" w:eastAsia="zh-CN"/>
    </w:rPr>
  </w:style>
  <w:style w:type="character" w:customStyle="1" w:styleId="18">
    <w:name w:val="正文 Char"/>
    <w:link w:val="1"/>
    <w:qFormat/>
    <w:uiPriority w:val="0"/>
    <w:rPr>
      <w:rFonts w:ascii="Times New Roman" w:hAnsi="Times New Roman" w:eastAsia="微软雅黑" w:cs="Times New Roman"/>
      <w:kern w:val="2"/>
      <w:sz w:val="28"/>
      <w:szCs w:val="24"/>
      <w:lang w:val="en-US" w:eastAsia="zh-CN" w:bidi="ar-SA"/>
    </w:rPr>
  </w:style>
  <w:style w:type="character" w:customStyle="1" w:styleId="19">
    <w:name w:val="标题 1 Char"/>
    <w:link w:val="2"/>
    <w:qFormat/>
    <w:uiPriority w:val="0"/>
    <w:rPr>
      <w:rFonts w:hint="default" w:ascii="Times New Roman" w:hAnsi="Times New Roman" w:eastAsia="微软雅黑" w:cs="宋体"/>
      <w:b/>
      <w:bCs/>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526</Words>
  <Characters>2712</Characters>
  <Lines>0</Lines>
  <Paragraphs>0</Paragraphs>
  <TotalTime>0</TotalTime>
  <ScaleCrop>false</ScaleCrop>
  <LinksUpToDate>false</LinksUpToDate>
  <CharactersWithSpaces>3211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2024-11-22T07:00:00Z</dcterms:created>
  <dc:creator>郭新悦</dc:creator>
  <cp:lastModifiedBy>维</cp:lastModifiedBy>
  <dcterms:modified xsi:type="dcterms:W3CDTF">2025-10-24T06:35:44Z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61CD74EA60E1440E8EDA53EBFCEBBEFE_13</vt:lpwstr>
  </property>
  <property fmtid="{D5CDD505-2E9C-101B-9397-08002B2CF9AE}" pid="4" name="KSOTemplateDocerSaveRecord">
    <vt:lpwstr>eyJoZGlkIjoiMzEwNTM5NzYwMDRjMzkwZTVkZjY2ODkwMGIxNGU0OTUiLCJ1c2VySWQiOiI5NjI0MDgyNDIifQ==</vt:lpwstr>
  </property>
</Properties>
</file>